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b/>
          <w:bCs/>
          <w:sz w:val="32"/>
          <w:szCs w:val="32"/>
        </w:rPr>
      </w:pPr>
      <w:r>
        <w:rPr>
          <w:rFonts w:ascii="黑体" w:hAnsi="黑体" w:eastAsia="黑体"/>
          <w:sz w:val="32"/>
          <w:szCs w:val="32"/>
        </w:rPr>
        <w:t>附件</w:t>
      </w:r>
      <w:r>
        <w:rPr>
          <w:rFonts w:hint="eastAsia" w:ascii="黑体" w:hAnsi="黑体" w:eastAsia="黑体"/>
          <w:sz w:val="32"/>
          <w:szCs w:val="32"/>
        </w:rPr>
        <w:t>2</w:t>
      </w:r>
      <w:r>
        <w:rPr>
          <w:rFonts w:ascii="黑体" w:hAnsi="黑体" w:eastAsia="黑体"/>
          <w:sz w:val="32"/>
          <w:szCs w:val="32"/>
        </w:rPr>
        <w:t>：</w:t>
      </w:r>
    </w:p>
    <w:p>
      <w:pPr>
        <w:jc w:val="center"/>
        <w:rPr>
          <w:rFonts w:hint="eastAsia" w:ascii="黑体" w:hAnsi="黑体" w:eastAsia="黑体"/>
          <w:sz w:val="32"/>
          <w:szCs w:val="32"/>
        </w:rPr>
      </w:pPr>
      <w:r>
        <w:rPr>
          <w:rFonts w:ascii="黑体" w:hAnsi="黑体" w:eastAsia="黑体"/>
          <w:sz w:val="32"/>
          <w:szCs w:val="32"/>
        </w:rPr>
        <w:t>学院内部质量保证体系诊断与改进工作实施细则</w:t>
      </w:r>
    </w:p>
    <w:p>
      <w:pPr>
        <w:jc w:val="center"/>
        <w:rPr>
          <w:rFonts w:ascii="黑体" w:hAnsi="黑体" w:eastAsia="黑体"/>
          <w:sz w:val="32"/>
          <w:szCs w:val="32"/>
        </w:rPr>
      </w:pPr>
      <w:r>
        <w:rPr>
          <w:rFonts w:ascii="黑体" w:hAnsi="黑体" w:eastAsia="黑体"/>
          <w:sz w:val="32"/>
          <w:szCs w:val="32"/>
        </w:rPr>
        <w:t>（试行）</w:t>
      </w:r>
      <w:bookmarkStart w:id="0" w:name="_GoBack"/>
      <w:bookmarkEnd w:id="0"/>
    </w:p>
    <w:p>
      <w:pPr>
        <w:ind w:firstLine="560" w:firstLineChars="200"/>
        <w:rPr>
          <w:rFonts w:hint="eastAsia" w:ascii="仿宋" w:hAnsi="仿宋" w:eastAsia="仿宋"/>
          <w:sz w:val="28"/>
          <w:szCs w:val="28"/>
        </w:rPr>
      </w:pPr>
    </w:p>
    <w:p>
      <w:pPr>
        <w:spacing w:line="400" w:lineRule="exact"/>
        <w:ind w:firstLine="560" w:firstLineChars="200"/>
        <w:rPr>
          <w:rFonts w:ascii="宋体" w:hAnsi="宋体"/>
          <w:b/>
          <w:bCs/>
          <w:sz w:val="28"/>
          <w:szCs w:val="28"/>
        </w:rPr>
      </w:pPr>
      <w:r>
        <w:rPr>
          <w:rFonts w:ascii="宋体" w:hAnsi="宋体"/>
          <w:sz w:val="28"/>
          <w:szCs w:val="28"/>
        </w:rPr>
        <w:t>为贯彻落实《教育部办公厅关于建立职业院校教学工作诊断与改进制度的通知》（教职成厅〔2015〕2号）、教育部职业教育与成人教育司《关于印发&lt;高等职业院校内部质量保证体系诊断与改进指导方案（试行）&gt;启动相关工作的通知》（教职成司函[2015]168号）、福建省教育厅关于印发《福建省高等职业院校内部质量保证体系诊断与改进工作实施方案（试行）》的通知，推动我校建立教学工作诊断与改进制度，完善内部质量保证体系，特制订本实施方案。</w:t>
      </w:r>
    </w:p>
    <w:p>
      <w:pPr>
        <w:spacing w:line="400" w:lineRule="exact"/>
        <w:ind w:firstLine="562" w:firstLineChars="200"/>
        <w:rPr>
          <w:rFonts w:ascii="宋体" w:hAnsi="宋体"/>
          <w:b/>
          <w:bCs/>
          <w:sz w:val="28"/>
          <w:szCs w:val="28"/>
        </w:rPr>
      </w:pPr>
      <w:r>
        <w:rPr>
          <w:rFonts w:ascii="宋体" w:hAnsi="宋体"/>
          <w:b/>
          <w:bCs/>
          <w:sz w:val="28"/>
          <w:szCs w:val="28"/>
        </w:rPr>
        <w:t>一、指导思想</w:t>
      </w:r>
    </w:p>
    <w:p>
      <w:pPr>
        <w:spacing w:line="400" w:lineRule="exact"/>
        <w:ind w:firstLine="560" w:firstLineChars="200"/>
        <w:rPr>
          <w:rFonts w:ascii="宋体" w:hAnsi="宋体"/>
          <w:sz w:val="28"/>
          <w:szCs w:val="28"/>
        </w:rPr>
      </w:pPr>
      <w:r>
        <w:rPr>
          <w:rFonts w:ascii="宋体" w:hAnsi="宋体"/>
          <w:sz w:val="28"/>
          <w:szCs w:val="28"/>
        </w:rPr>
        <w:t>以《国务院关于加快发展现代职业教育的决定》（国发〔2014〕19号）和《福建省人民政府关于加快发展现代职业教育的若干意见》（闽政〔2015〕46号）精神为指导，以完善质量标准和制度、提高利益相关方对人才培养工作的满意度为目标，按照“需求导向、自我保证，多元诊断、重在改进”的工作方针，切实履行学院人才培养工作质量保证主体的责任，建立常态化的内部质量保证体系和可持续的诊断与改进（以下简称“诊改”）工作机制，加强学院内涵建设，创新人才培养机制，不断提高人才培养质量，促进学院科学、健康发展。</w:t>
      </w:r>
    </w:p>
    <w:p>
      <w:pPr>
        <w:spacing w:line="400" w:lineRule="exact"/>
        <w:ind w:firstLine="562" w:firstLineChars="200"/>
        <w:rPr>
          <w:rFonts w:ascii="宋体" w:hAnsi="宋体"/>
          <w:b/>
          <w:bCs/>
          <w:sz w:val="28"/>
          <w:szCs w:val="28"/>
        </w:rPr>
      </w:pPr>
      <w:r>
        <w:rPr>
          <w:rFonts w:ascii="宋体" w:hAnsi="宋体"/>
          <w:b/>
          <w:bCs/>
          <w:sz w:val="28"/>
          <w:szCs w:val="28"/>
        </w:rPr>
        <w:t>二、基本原则</w:t>
      </w:r>
    </w:p>
    <w:p>
      <w:pPr>
        <w:spacing w:line="400" w:lineRule="exact"/>
        <w:ind w:firstLine="560" w:firstLineChars="200"/>
        <w:rPr>
          <w:rFonts w:ascii="宋体" w:hAnsi="宋体"/>
          <w:sz w:val="28"/>
          <w:szCs w:val="28"/>
        </w:rPr>
      </w:pPr>
      <w:r>
        <w:rPr>
          <w:rFonts w:ascii="宋体" w:hAnsi="宋体"/>
          <w:sz w:val="28"/>
          <w:szCs w:val="28"/>
        </w:rPr>
        <w:t>（一）数据分析与实际调研相结合。诊改工作主要基于对学院人才培养工作状态数据的分析，辅以灵活有效的实际调查研究。</w:t>
      </w:r>
    </w:p>
    <w:p>
      <w:pPr>
        <w:spacing w:line="400" w:lineRule="exact"/>
        <w:ind w:firstLine="560" w:firstLineChars="200"/>
        <w:rPr>
          <w:rFonts w:ascii="宋体" w:hAnsi="宋体"/>
          <w:sz w:val="28"/>
          <w:szCs w:val="28"/>
        </w:rPr>
      </w:pPr>
      <w:r>
        <w:rPr>
          <w:rFonts w:ascii="宋体" w:hAnsi="宋体"/>
          <w:sz w:val="28"/>
          <w:szCs w:val="28"/>
        </w:rPr>
        <w:t>（二）坚持标准、彰显特色。根据本实施方案，结合学院实际，制定学院教学诊断与改进工作实施细则，在不低于《福建省高职院校内部质量保证体系诊断与改进指标体系》（见附件1）要求的基础上，补充有利于学院特色发展的诊改内容，用自己的尺子量自己。</w:t>
      </w:r>
    </w:p>
    <w:p>
      <w:pPr>
        <w:spacing w:line="400" w:lineRule="exact"/>
        <w:ind w:firstLine="560" w:firstLineChars="200"/>
        <w:rPr>
          <w:rFonts w:ascii="宋体" w:hAnsi="宋体"/>
          <w:sz w:val="28"/>
          <w:szCs w:val="28"/>
        </w:rPr>
      </w:pPr>
      <w:r>
        <w:rPr>
          <w:rFonts w:ascii="宋体" w:hAnsi="宋体"/>
          <w:sz w:val="28"/>
          <w:szCs w:val="28"/>
        </w:rPr>
        <w:t>（三）科学性、导向性和可操作性相结合的原则。学院自主诊改聘请的专家人数不少于9人，且校外专家人数不少于专家总数的1/2。做到定量评价与定性评价相结合，尽可能地使评价标准趋于科学化，以提高评价结果的可靠性与可比性。</w:t>
      </w:r>
    </w:p>
    <w:p>
      <w:pPr>
        <w:spacing w:line="400" w:lineRule="exact"/>
        <w:ind w:firstLine="562" w:firstLineChars="200"/>
        <w:rPr>
          <w:rFonts w:ascii="宋体" w:hAnsi="宋体"/>
          <w:b/>
          <w:bCs/>
          <w:sz w:val="28"/>
          <w:szCs w:val="28"/>
        </w:rPr>
      </w:pPr>
      <w:r>
        <w:rPr>
          <w:rFonts w:ascii="宋体" w:hAnsi="宋体"/>
          <w:b/>
          <w:bCs/>
          <w:sz w:val="28"/>
          <w:szCs w:val="28"/>
        </w:rPr>
        <w:t>三、总体目标</w:t>
      </w:r>
    </w:p>
    <w:p>
      <w:pPr>
        <w:spacing w:line="400" w:lineRule="exact"/>
        <w:ind w:firstLine="560" w:firstLineChars="200"/>
        <w:rPr>
          <w:rFonts w:ascii="宋体" w:hAnsi="宋体"/>
          <w:sz w:val="28"/>
          <w:szCs w:val="28"/>
        </w:rPr>
      </w:pPr>
      <w:r>
        <w:rPr>
          <w:rFonts w:ascii="宋体" w:hAnsi="宋体"/>
          <w:sz w:val="28"/>
          <w:szCs w:val="28"/>
        </w:rPr>
        <w:t>（一）学院内部质量保证体系不断完善。以诊改为手段，推动学院在学校、专业、课程、教师、学生不同层面建立起完整且相对独立的自我质量保证机制，强化学院各层级管理系统间的质量依存关系，形成全要素网络化的内部质量保证体系。</w:t>
      </w:r>
    </w:p>
    <w:p>
      <w:pPr>
        <w:spacing w:line="400" w:lineRule="exact"/>
        <w:ind w:firstLine="560" w:firstLineChars="200"/>
        <w:rPr>
          <w:rFonts w:ascii="宋体" w:hAnsi="宋体"/>
          <w:sz w:val="28"/>
          <w:szCs w:val="28"/>
        </w:rPr>
      </w:pPr>
      <w:r>
        <w:rPr>
          <w:rFonts w:ascii="宋体" w:hAnsi="宋体"/>
          <w:sz w:val="28"/>
          <w:szCs w:val="28"/>
        </w:rPr>
        <w:t>（二）提升教育教学管理信息化水平。强化人才培养工作状态数据在诊改工作的基础作用，进一步加强学院人才培养工作状态数据管理系统的建设与应用，及时掌握和分析人才培养状况，确保数据的真实性和有效性，完善预警功能，为教育行政部门决策提供参考。</w:t>
      </w:r>
    </w:p>
    <w:p>
      <w:pPr>
        <w:spacing w:line="400" w:lineRule="exact"/>
        <w:ind w:firstLine="560" w:firstLineChars="200"/>
        <w:rPr>
          <w:rFonts w:ascii="宋体" w:hAnsi="宋体"/>
          <w:sz w:val="28"/>
          <w:szCs w:val="28"/>
        </w:rPr>
      </w:pPr>
      <w:r>
        <w:rPr>
          <w:rFonts w:ascii="宋体" w:hAnsi="宋体"/>
          <w:sz w:val="28"/>
          <w:szCs w:val="28"/>
        </w:rPr>
        <w:t>（三）提高工作的针对性和实施效果，提升学院办学水平。针对学院办学实际，开展以“集聚优势、凝练方向，提高发展能力”“保证院校履行办学主体责任，建立和完善学校内部质量保证制度体系”“保证学校的基本办学方向、基本办学条件、基本管理规范”等为重点的诊改工作，及时发现、诊改、规范，促进学院科学、健康发展。</w:t>
      </w:r>
    </w:p>
    <w:p>
      <w:pPr>
        <w:spacing w:line="400" w:lineRule="exact"/>
        <w:ind w:firstLine="560" w:firstLineChars="200"/>
        <w:rPr>
          <w:rFonts w:ascii="宋体" w:hAnsi="宋体"/>
          <w:sz w:val="28"/>
          <w:szCs w:val="28"/>
        </w:rPr>
      </w:pPr>
      <w:r>
        <w:rPr>
          <w:rFonts w:ascii="宋体" w:hAnsi="宋体"/>
          <w:sz w:val="28"/>
          <w:szCs w:val="28"/>
        </w:rPr>
        <w:t>（四）树立现代质量文化，诊断改进工作形成常态。建立完善涉及全员、贯穿全程、覆盖全面，纵横衔接、网络互动的常态化诊断改进工作制度，将诊改工作融入学校日常教育教学和管理全过程，逐步构建富有内生活力和创新动力的常态化诊断改进工作机制。</w:t>
      </w:r>
    </w:p>
    <w:p>
      <w:pPr>
        <w:spacing w:line="400" w:lineRule="exact"/>
        <w:ind w:firstLine="562" w:firstLineChars="200"/>
        <w:rPr>
          <w:rFonts w:ascii="宋体" w:hAnsi="宋体"/>
          <w:b/>
          <w:bCs/>
          <w:sz w:val="28"/>
          <w:szCs w:val="28"/>
        </w:rPr>
      </w:pPr>
      <w:r>
        <w:rPr>
          <w:rFonts w:ascii="宋体" w:hAnsi="宋体"/>
          <w:b/>
          <w:bCs/>
          <w:sz w:val="28"/>
          <w:szCs w:val="28"/>
        </w:rPr>
        <w:t>四、学院自主诊改操作规程</w:t>
      </w:r>
    </w:p>
    <w:p>
      <w:pPr>
        <w:spacing w:line="400" w:lineRule="exact"/>
        <w:ind w:firstLine="560" w:firstLineChars="200"/>
        <w:rPr>
          <w:rFonts w:ascii="宋体" w:hAnsi="宋体"/>
          <w:sz w:val="28"/>
          <w:szCs w:val="28"/>
        </w:rPr>
      </w:pPr>
      <w:r>
        <w:rPr>
          <w:rFonts w:ascii="宋体" w:hAnsi="宋体"/>
          <w:sz w:val="28"/>
          <w:szCs w:val="28"/>
        </w:rPr>
        <w:t>1、根据《福建省高等职业院校内部质量保证体系诊断与改进工作实施方案（试行）》，结合学院实际，制定《湄洲湾职业技术学院内部质量保证体系诊断与改进工作实施细则（试行）》。</w:t>
      </w:r>
    </w:p>
    <w:p>
      <w:pPr>
        <w:spacing w:line="400" w:lineRule="exact"/>
        <w:ind w:firstLine="560" w:firstLineChars="200"/>
        <w:rPr>
          <w:rFonts w:ascii="宋体" w:hAnsi="宋体"/>
          <w:sz w:val="28"/>
          <w:szCs w:val="28"/>
        </w:rPr>
      </w:pPr>
      <w:r>
        <w:rPr>
          <w:rFonts w:ascii="宋体" w:hAnsi="宋体"/>
          <w:sz w:val="28"/>
          <w:szCs w:val="28"/>
        </w:rPr>
        <w:t>2、及时填报《高等职业院校人才培养工作状态数据采集与管理平台》（以下简称数据采集与管理平台)所要求的数据。安排专人负责数据采集与管理平台的建设、运行与管理，撰写学院近2年《人才培养工作状态数据分析报告》。</w:t>
      </w:r>
    </w:p>
    <w:p>
      <w:pPr>
        <w:spacing w:line="400" w:lineRule="exact"/>
        <w:ind w:firstLine="560" w:firstLineChars="200"/>
        <w:rPr>
          <w:rFonts w:ascii="宋体" w:hAnsi="宋体"/>
          <w:sz w:val="28"/>
          <w:szCs w:val="28"/>
        </w:rPr>
      </w:pPr>
      <w:r>
        <w:rPr>
          <w:rFonts w:ascii="宋体" w:hAnsi="宋体"/>
          <w:sz w:val="28"/>
          <w:szCs w:val="28"/>
        </w:rPr>
        <w:t>3、整理、汇编《学院事业发展规划及其他子规划》、《学院所在地区的区域经济社会事业发展规划》</w:t>
      </w:r>
    </w:p>
    <w:p>
      <w:pPr>
        <w:spacing w:line="400" w:lineRule="exact"/>
        <w:ind w:firstLine="560" w:firstLineChars="200"/>
        <w:rPr>
          <w:rFonts w:ascii="宋体" w:hAnsi="宋体"/>
          <w:sz w:val="28"/>
          <w:szCs w:val="28"/>
        </w:rPr>
      </w:pPr>
      <w:r>
        <w:rPr>
          <w:rFonts w:ascii="宋体" w:hAnsi="宋体"/>
          <w:sz w:val="28"/>
          <w:szCs w:val="28"/>
        </w:rPr>
        <w:t>4、开展在校生、毕业生满意度调查分析，整理、撰写学院面向在校生及近3届毕业生开展的《学生满意度调查分析报告》；</w:t>
      </w:r>
    </w:p>
    <w:p>
      <w:pPr>
        <w:spacing w:line="400" w:lineRule="exact"/>
        <w:ind w:firstLine="560" w:firstLineChars="200"/>
        <w:rPr>
          <w:rFonts w:ascii="宋体" w:hAnsi="宋体"/>
          <w:sz w:val="28"/>
          <w:szCs w:val="28"/>
        </w:rPr>
      </w:pPr>
      <w:r>
        <w:rPr>
          <w:rFonts w:ascii="宋体" w:hAnsi="宋体"/>
          <w:sz w:val="28"/>
          <w:szCs w:val="28"/>
        </w:rPr>
        <w:t>5、依据填报数据，逐条对照高等职业院校内部质量保证体系诊断要素，结合自我分析诊断，并对内部质量保证体系运行情况及效果定期进行自主诊改，撰写学院《内部质量保证体系自我诊断与改进工作报告》。</w:t>
      </w:r>
    </w:p>
    <w:p>
      <w:pPr>
        <w:spacing w:line="400" w:lineRule="exact"/>
        <w:ind w:firstLine="560" w:firstLineChars="200"/>
        <w:rPr>
          <w:rFonts w:ascii="宋体" w:hAnsi="宋体"/>
          <w:sz w:val="28"/>
          <w:szCs w:val="28"/>
        </w:rPr>
      </w:pPr>
      <w:r>
        <w:rPr>
          <w:rFonts w:ascii="宋体" w:hAnsi="宋体"/>
          <w:sz w:val="28"/>
          <w:szCs w:val="28"/>
        </w:rPr>
        <w:t>6、将学院《内部质量保证体系自我诊断与改进工作报告》情况纳入本校质量年度报告，撰写近2年学院《人才培养质量年度报告》、近2年学院及校内职能部门、院系（部）的年度自我诊改报告。</w:t>
      </w:r>
    </w:p>
    <w:p>
      <w:pPr>
        <w:spacing w:line="400" w:lineRule="exact"/>
        <w:ind w:firstLine="560" w:firstLineChars="200"/>
        <w:rPr>
          <w:rFonts w:ascii="宋体" w:hAnsi="宋体"/>
          <w:sz w:val="28"/>
          <w:szCs w:val="28"/>
        </w:rPr>
      </w:pPr>
      <w:r>
        <w:rPr>
          <w:rFonts w:ascii="宋体" w:hAnsi="宋体"/>
          <w:sz w:val="28"/>
          <w:szCs w:val="28"/>
        </w:rPr>
        <w:t>7、将以上五份报告及《学院事业发展规划及其他子规划》、《学院所在地区的区域经济社会事业发展规划》于复核工作开始前30日在学院评估专网进行公示，于复核工作开始前15日报送省教育评估研究中心。</w:t>
      </w:r>
    </w:p>
    <w:p>
      <w:pPr>
        <w:spacing w:line="400" w:lineRule="exact"/>
        <w:ind w:firstLine="560" w:firstLineChars="200"/>
        <w:rPr>
          <w:rFonts w:ascii="宋体" w:hAnsi="宋体"/>
          <w:sz w:val="28"/>
          <w:szCs w:val="28"/>
        </w:rPr>
      </w:pPr>
      <w:r>
        <w:rPr>
          <w:rFonts w:ascii="宋体" w:hAnsi="宋体"/>
          <w:sz w:val="28"/>
          <w:szCs w:val="28"/>
        </w:rPr>
        <w:t>学院将根据需要邀请校外专家到校诊断、指导整改，学院自主诊改聘请的专家人数不少于9人，且校外专家人数不少于专家总数的1/2。</w:t>
      </w:r>
    </w:p>
    <w:p>
      <w:pPr>
        <w:spacing w:line="400" w:lineRule="exact"/>
        <w:ind w:firstLine="562" w:firstLineChars="200"/>
        <w:rPr>
          <w:rFonts w:ascii="宋体" w:hAnsi="宋体"/>
          <w:b/>
          <w:bCs/>
          <w:sz w:val="28"/>
          <w:szCs w:val="28"/>
        </w:rPr>
      </w:pPr>
      <w:r>
        <w:rPr>
          <w:rFonts w:ascii="宋体" w:hAnsi="宋体"/>
          <w:b/>
          <w:bCs/>
          <w:sz w:val="28"/>
          <w:szCs w:val="28"/>
        </w:rPr>
        <w:t>五、重点项目诊改任务安排</w:t>
      </w:r>
    </w:p>
    <w:p>
      <w:pPr>
        <w:spacing w:line="400" w:lineRule="exact"/>
        <w:ind w:firstLine="562" w:firstLineChars="200"/>
        <w:rPr>
          <w:rFonts w:ascii="宋体" w:hAnsi="宋体"/>
          <w:sz w:val="28"/>
          <w:szCs w:val="28"/>
        </w:rPr>
      </w:pPr>
      <w:r>
        <w:rPr>
          <w:rFonts w:ascii="宋体" w:hAnsi="宋体"/>
          <w:b/>
          <w:bCs/>
          <w:sz w:val="28"/>
          <w:szCs w:val="28"/>
        </w:rPr>
        <w:t>1、体系总体架构</w:t>
      </w:r>
      <w:r>
        <w:rPr>
          <w:rFonts w:ascii="宋体" w:hAnsi="宋体"/>
          <w:sz w:val="28"/>
          <w:szCs w:val="28"/>
        </w:rPr>
        <w:t>（牵头部门：办公室）</w:t>
      </w:r>
    </w:p>
    <w:p>
      <w:pPr>
        <w:spacing w:line="400" w:lineRule="exact"/>
        <w:ind w:firstLine="560" w:firstLineChars="200"/>
        <w:rPr>
          <w:rFonts w:ascii="宋体" w:hAnsi="宋体"/>
          <w:sz w:val="28"/>
          <w:szCs w:val="28"/>
        </w:rPr>
      </w:pPr>
      <w:r>
        <w:rPr>
          <w:rFonts w:ascii="宋体" w:hAnsi="宋体"/>
          <w:sz w:val="28"/>
          <w:szCs w:val="28"/>
        </w:rPr>
        <w:t>从宏观上总体把握学院内部质量保证体系诊断与改进工作方针、政策，对诊改工作提出指导性意见和建议，审定学院内部质量保证体系诊改的各项标准和办法，接受诊改信息反馈，调控影响诊改的因素，从总体上保障学院诊改工作顺利进行。</w:t>
      </w:r>
    </w:p>
    <w:p>
      <w:pPr>
        <w:spacing w:line="400" w:lineRule="exact"/>
        <w:ind w:firstLine="560" w:firstLineChars="200"/>
        <w:rPr>
          <w:rFonts w:ascii="宋体" w:hAnsi="宋体"/>
          <w:sz w:val="28"/>
          <w:szCs w:val="28"/>
        </w:rPr>
      </w:pPr>
      <w:r>
        <w:rPr>
          <w:rFonts w:ascii="宋体" w:hAnsi="宋体"/>
          <w:sz w:val="28"/>
          <w:szCs w:val="28"/>
        </w:rPr>
        <w:t>具体负责：1.1学院质量保证理念；1.2组织架构；1.3制度架构；1.4信息系统（教务处）。</w:t>
      </w:r>
    </w:p>
    <w:p>
      <w:pPr>
        <w:spacing w:line="400" w:lineRule="exact"/>
        <w:ind w:firstLine="562" w:firstLineChars="200"/>
        <w:rPr>
          <w:rFonts w:ascii="宋体" w:hAnsi="宋体"/>
          <w:sz w:val="28"/>
          <w:szCs w:val="28"/>
        </w:rPr>
      </w:pPr>
      <w:r>
        <w:rPr>
          <w:rFonts w:ascii="宋体" w:hAnsi="宋体"/>
          <w:b/>
          <w:bCs/>
          <w:sz w:val="28"/>
          <w:szCs w:val="28"/>
        </w:rPr>
        <w:t>2、专业质量保障</w:t>
      </w:r>
      <w:r>
        <w:rPr>
          <w:rFonts w:ascii="宋体" w:hAnsi="宋体"/>
          <w:sz w:val="28"/>
          <w:szCs w:val="28"/>
        </w:rPr>
        <w:t>（牵头部门：教务处）</w:t>
      </w:r>
    </w:p>
    <w:p>
      <w:pPr>
        <w:spacing w:line="400" w:lineRule="exact"/>
        <w:ind w:firstLine="560" w:firstLineChars="200"/>
        <w:rPr>
          <w:rFonts w:ascii="宋体" w:hAnsi="宋体"/>
          <w:sz w:val="28"/>
          <w:szCs w:val="28"/>
        </w:rPr>
      </w:pPr>
      <w:r>
        <w:rPr>
          <w:rFonts w:ascii="宋体" w:hAnsi="宋体"/>
          <w:sz w:val="28"/>
          <w:szCs w:val="28"/>
        </w:rPr>
        <w:t>专业质量水平是衡量学院教学质量和整体办学水平的重要标志，专业质量保障的校内主体主要是：教务处、督导室、质控中心、院系主任、教研室主任、教务管理人员、教师等。在原有“院-系-教研室-教师”教学质量四级责任制和院系二级教学督导管理制度的基础上，进一步细化工作安排，其中教务处负责组织学院教学工作指导委员会、院系主任、专业带头人完善、修订专业质量诊改指标体系，制定《专业建设质量标准》，督导室负责编制专业质量诊改实施细则，并联合教务处、质控中心、各院系审查、修订、落实诊改工作，在专业、课程层面建立完整的自我质量保障机制。</w:t>
      </w:r>
    </w:p>
    <w:p>
      <w:pPr>
        <w:spacing w:line="400" w:lineRule="exact"/>
        <w:ind w:firstLine="560" w:firstLineChars="200"/>
        <w:rPr>
          <w:rFonts w:ascii="宋体" w:hAnsi="宋体"/>
          <w:sz w:val="28"/>
          <w:szCs w:val="28"/>
        </w:rPr>
      </w:pPr>
      <w:r>
        <w:rPr>
          <w:rFonts w:ascii="宋体" w:hAnsi="宋体"/>
          <w:sz w:val="28"/>
          <w:szCs w:val="28"/>
        </w:rPr>
        <w:t>具体负责：2.1专业建设规划；2.2专业诊改；2.3课程质量保证。</w:t>
      </w:r>
    </w:p>
    <w:p>
      <w:pPr>
        <w:spacing w:line="400" w:lineRule="exact"/>
        <w:ind w:firstLine="562" w:firstLineChars="200"/>
        <w:rPr>
          <w:rFonts w:ascii="宋体" w:hAnsi="宋体"/>
          <w:sz w:val="28"/>
          <w:szCs w:val="28"/>
        </w:rPr>
      </w:pPr>
      <w:r>
        <w:rPr>
          <w:rFonts w:ascii="宋体" w:hAnsi="宋体"/>
          <w:b/>
          <w:bCs/>
          <w:sz w:val="28"/>
          <w:szCs w:val="28"/>
        </w:rPr>
        <w:t>3、师资质量保证</w:t>
      </w:r>
      <w:r>
        <w:rPr>
          <w:rFonts w:ascii="宋体" w:hAnsi="宋体"/>
          <w:sz w:val="28"/>
          <w:szCs w:val="28"/>
        </w:rPr>
        <w:t>（牵头部门：人事处）</w:t>
      </w:r>
    </w:p>
    <w:p>
      <w:pPr>
        <w:spacing w:line="400" w:lineRule="exact"/>
        <w:ind w:firstLine="560" w:firstLineChars="200"/>
        <w:rPr>
          <w:rFonts w:ascii="宋体" w:hAnsi="宋体"/>
          <w:sz w:val="28"/>
          <w:szCs w:val="28"/>
        </w:rPr>
      </w:pPr>
      <w:r>
        <w:rPr>
          <w:rFonts w:ascii="宋体" w:hAnsi="宋体"/>
          <w:sz w:val="28"/>
          <w:szCs w:val="28"/>
        </w:rPr>
        <w:t>人事处是全院人事管理工作的职能部门，负责对全院教师培养进行监控与评价，建立师资质保机制。要抓紧时间编制师资质量保证诊改实施细则，牵头完善、修订师资质量保障指标体系，制定《师资质量保证标准》，组织、指导、协调各相关部门做好师资质量保证诊改工作，定期检查诊改工作进度。</w:t>
      </w:r>
    </w:p>
    <w:p>
      <w:pPr>
        <w:spacing w:line="400" w:lineRule="exact"/>
        <w:ind w:firstLine="560" w:firstLineChars="200"/>
        <w:rPr>
          <w:rFonts w:ascii="宋体" w:hAnsi="宋体"/>
          <w:sz w:val="28"/>
          <w:szCs w:val="28"/>
        </w:rPr>
      </w:pPr>
      <w:r>
        <w:rPr>
          <w:rFonts w:ascii="宋体" w:hAnsi="宋体"/>
          <w:sz w:val="28"/>
          <w:szCs w:val="28"/>
        </w:rPr>
        <w:t>具体负责：3.1师资队伍建设规划；3.2师资建设诊改工作。</w:t>
      </w:r>
    </w:p>
    <w:p>
      <w:pPr>
        <w:spacing w:line="400" w:lineRule="exact"/>
        <w:ind w:firstLine="562" w:firstLineChars="200"/>
        <w:rPr>
          <w:rFonts w:ascii="宋体" w:hAnsi="宋体"/>
          <w:sz w:val="28"/>
          <w:szCs w:val="28"/>
        </w:rPr>
      </w:pPr>
      <w:r>
        <w:rPr>
          <w:rFonts w:ascii="宋体" w:hAnsi="宋体"/>
          <w:b/>
          <w:bCs/>
          <w:sz w:val="28"/>
          <w:szCs w:val="28"/>
        </w:rPr>
        <w:t>4、学生全面发展保证</w:t>
      </w:r>
      <w:r>
        <w:rPr>
          <w:rFonts w:ascii="宋体" w:hAnsi="宋体"/>
          <w:sz w:val="28"/>
          <w:szCs w:val="28"/>
        </w:rPr>
        <w:t>（牵头部门：学工处）</w:t>
      </w:r>
    </w:p>
    <w:p>
      <w:pPr>
        <w:spacing w:line="400" w:lineRule="exact"/>
        <w:ind w:firstLine="560" w:firstLineChars="200"/>
        <w:rPr>
          <w:rFonts w:ascii="宋体" w:hAnsi="宋体"/>
          <w:sz w:val="28"/>
          <w:szCs w:val="28"/>
        </w:rPr>
      </w:pPr>
      <w:r>
        <w:rPr>
          <w:rFonts w:ascii="宋体" w:hAnsi="宋体"/>
          <w:sz w:val="28"/>
          <w:szCs w:val="28"/>
        </w:rPr>
        <w:t>学工处、团委负责对4.1育人体系对应的指标体系进行完善、修订，组织各相关部门、院系（部）对照指标体系搜集支撑材料，自主诊改，实时跟进诊改情况。保卫科、后勤管理处联合对4.2成长环境对应的指标体系进行完善、修订，对照指标体系搜集支撑材料并进行诊改。</w:t>
      </w:r>
    </w:p>
    <w:p>
      <w:pPr>
        <w:spacing w:line="400" w:lineRule="exact"/>
        <w:ind w:firstLine="560" w:firstLineChars="200"/>
        <w:rPr>
          <w:rFonts w:ascii="宋体" w:hAnsi="宋体"/>
          <w:sz w:val="28"/>
          <w:szCs w:val="28"/>
        </w:rPr>
      </w:pPr>
      <w:r>
        <w:rPr>
          <w:rFonts w:ascii="宋体" w:hAnsi="宋体"/>
          <w:sz w:val="28"/>
          <w:szCs w:val="28"/>
        </w:rPr>
        <w:t>具体负责：4.1育人体系；4.2成长环境。</w:t>
      </w:r>
    </w:p>
    <w:p>
      <w:pPr>
        <w:spacing w:line="400" w:lineRule="exact"/>
        <w:ind w:firstLine="562" w:firstLineChars="200"/>
        <w:rPr>
          <w:rFonts w:ascii="宋体" w:hAnsi="宋体"/>
          <w:sz w:val="28"/>
          <w:szCs w:val="28"/>
        </w:rPr>
      </w:pPr>
      <w:r>
        <w:rPr>
          <w:rFonts w:ascii="宋体" w:hAnsi="宋体"/>
          <w:b/>
          <w:bCs/>
          <w:sz w:val="28"/>
          <w:szCs w:val="28"/>
        </w:rPr>
        <w:t>5、体系运行效果</w:t>
      </w:r>
      <w:r>
        <w:rPr>
          <w:rFonts w:ascii="宋体" w:hAnsi="宋体"/>
          <w:sz w:val="28"/>
          <w:szCs w:val="28"/>
        </w:rPr>
        <w:t>（牵头部门：质控中心）</w:t>
      </w:r>
    </w:p>
    <w:p>
      <w:pPr>
        <w:spacing w:line="400" w:lineRule="exact"/>
        <w:ind w:firstLine="560" w:firstLineChars="200"/>
        <w:rPr>
          <w:rFonts w:ascii="宋体" w:hAnsi="宋体"/>
          <w:sz w:val="28"/>
          <w:szCs w:val="28"/>
        </w:rPr>
      </w:pPr>
      <w:r>
        <w:rPr>
          <w:rFonts w:ascii="宋体" w:hAnsi="宋体"/>
          <w:sz w:val="28"/>
          <w:szCs w:val="28"/>
        </w:rPr>
        <w:t>质控中心对体系运行效果对应的指标体系进行完善、修订，从外部环境改进、质量事故监控、质量保证效果、体系特色等方面对内部质量保证诊改体系运行效果进行监控、总结、分析，不断完善内部质量保证体系，使之体制化、系统化，使内部质量诊改常态化、持续化。根据学院的定位、专业和学科特点、课程和教学特点、师资专长及学生特点，在专业、课程、师资、学生发展等层面建立完备的质量标准，促进学院各层面建立起完整且相对独立的自我质量保证机制。</w:t>
      </w:r>
    </w:p>
    <w:p>
      <w:pPr>
        <w:spacing w:line="400" w:lineRule="exact"/>
        <w:ind w:firstLine="560" w:firstLineChars="200"/>
        <w:rPr>
          <w:rFonts w:ascii="宋体" w:hAnsi="宋体"/>
          <w:sz w:val="28"/>
          <w:szCs w:val="28"/>
        </w:rPr>
      </w:pPr>
      <w:r>
        <w:rPr>
          <w:rFonts w:ascii="宋体" w:hAnsi="宋体"/>
          <w:sz w:val="28"/>
          <w:szCs w:val="28"/>
        </w:rPr>
        <w:t>具体负责：5.1外部环境改进；5.2质量事故管控；5.3质量保证效果；5.4体系特色。</w:t>
      </w:r>
    </w:p>
    <w:p>
      <w:pPr>
        <w:spacing w:line="400" w:lineRule="exact"/>
        <w:ind w:firstLine="562" w:firstLineChars="200"/>
        <w:rPr>
          <w:rFonts w:ascii="宋体" w:hAnsi="宋体"/>
          <w:b/>
          <w:bCs/>
          <w:sz w:val="28"/>
          <w:szCs w:val="28"/>
        </w:rPr>
      </w:pPr>
      <w:r>
        <w:rPr>
          <w:rFonts w:ascii="宋体" w:hAnsi="宋体"/>
          <w:b/>
          <w:bCs/>
          <w:sz w:val="28"/>
          <w:szCs w:val="28"/>
        </w:rPr>
        <w:t>六、进度安排</w:t>
      </w:r>
    </w:p>
    <w:p>
      <w:pPr>
        <w:spacing w:line="400" w:lineRule="exact"/>
        <w:ind w:firstLine="562" w:firstLineChars="200"/>
        <w:rPr>
          <w:rFonts w:ascii="宋体" w:hAnsi="宋体"/>
          <w:b/>
          <w:bCs/>
          <w:sz w:val="28"/>
          <w:szCs w:val="28"/>
        </w:rPr>
      </w:pPr>
      <w:r>
        <w:rPr>
          <w:rFonts w:ascii="宋体" w:hAnsi="宋体"/>
          <w:b/>
          <w:bCs/>
          <w:sz w:val="28"/>
          <w:szCs w:val="28"/>
        </w:rPr>
        <w:t>1、组织启动阶段（2016年11月-12月）</w:t>
      </w:r>
    </w:p>
    <w:p>
      <w:pPr>
        <w:spacing w:line="400" w:lineRule="exact"/>
        <w:ind w:firstLine="560" w:firstLineChars="200"/>
        <w:rPr>
          <w:rFonts w:ascii="宋体" w:hAnsi="宋体"/>
          <w:sz w:val="28"/>
          <w:szCs w:val="28"/>
        </w:rPr>
      </w:pPr>
      <w:r>
        <w:rPr>
          <w:rFonts w:ascii="宋体" w:hAnsi="宋体"/>
          <w:sz w:val="28"/>
          <w:szCs w:val="28"/>
        </w:rPr>
        <w:t>（1）成立学院自主诊改工作领导小组和诊改工作办公室（挂靠质控中心）。</w:t>
      </w:r>
    </w:p>
    <w:p>
      <w:pPr>
        <w:spacing w:line="400" w:lineRule="exact"/>
        <w:ind w:firstLine="560" w:firstLineChars="200"/>
        <w:rPr>
          <w:rFonts w:ascii="宋体" w:hAnsi="宋体"/>
          <w:sz w:val="28"/>
          <w:szCs w:val="28"/>
        </w:rPr>
      </w:pPr>
      <w:r>
        <w:rPr>
          <w:rFonts w:ascii="宋体" w:hAnsi="宋体"/>
          <w:sz w:val="28"/>
          <w:szCs w:val="28"/>
        </w:rPr>
        <w:t>（2）制订内部质量保证体系诊改总体方案并提交学院讨论决定。</w:t>
      </w:r>
    </w:p>
    <w:p>
      <w:pPr>
        <w:spacing w:line="400" w:lineRule="exact"/>
        <w:ind w:firstLine="560" w:firstLineChars="200"/>
        <w:rPr>
          <w:rFonts w:ascii="宋体" w:hAnsi="宋体"/>
          <w:sz w:val="28"/>
          <w:szCs w:val="28"/>
        </w:rPr>
      </w:pPr>
      <w:r>
        <w:rPr>
          <w:rFonts w:ascii="宋体" w:hAnsi="宋体"/>
          <w:sz w:val="28"/>
          <w:szCs w:val="28"/>
        </w:rPr>
        <w:t>（3）依托评估网站，加大学院内外自主诊改的宣传力度。</w:t>
      </w:r>
    </w:p>
    <w:p>
      <w:pPr>
        <w:spacing w:line="400" w:lineRule="exact"/>
        <w:ind w:firstLine="560" w:firstLineChars="200"/>
        <w:rPr>
          <w:rFonts w:ascii="宋体" w:hAnsi="宋体"/>
          <w:sz w:val="28"/>
          <w:szCs w:val="28"/>
        </w:rPr>
      </w:pPr>
      <w:r>
        <w:rPr>
          <w:rFonts w:ascii="宋体" w:hAnsi="宋体"/>
          <w:sz w:val="28"/>
          <w:szCs w:val="28"/>
        </w:rPr>
        <w:t>（4）诊改工作领导小组和诊改工作办公室在正确理解诊改指标内涵的基础上，对诊改指标体系各项指标进行分解细化，明确目标、落实责任。</w:t>
      </w:r>
    </w:p>
    <w:p>
      <w:pPr>
        <w:spacing w:line="400" w:lineRule="exact"/>
        <w:ind w:firstLine="560" w:firstLineChars="200"/>
        <w:rPr>
          <w:rFonts w:ascii="宋体" w:hAnsi="宋体"/>
          <w:sz w:val="28"/>
          <w:szCs w:val="28"/>
        </w:rPr>
      </w:pPr>
      <w:r>
        <w:rPr>
          <w:rFonts w:ascii="宋体" w:hAnsi="宋体"/>
          <w:sz w:val="28"/>
          <w:szCs w:val="28"/>
        </w:rPr>
        <w:t>（5）召开学院内部质量保证体系诊改启动工作会议，部署诊改工作。</w:t>
      </w:r>
    </w:p>
    <w:p>
      <w:pPr>
        <w:spacing w:line="400" w:lineRule="exact"/>
        <w:ind w:firstLine="560" w:firstLineChars="200"/>
        <w:rPr>
          <w:rFonts w:ascii="宋体" w:hAnsi="宋体"/>
          <w:sz w:val="28"/>
          <w:szCs w:val="28"/>
        </w:rPr>
      </w:pPr>
      <w:r>
        <w:rPr>
          <w:rFonts w:ascii="宋体" w:hAnsi="宋体"/>
          <w:sz w:val="28"/>
          <w:szCs w:val="28"/>
        </w:rPr>
        <w:t>（6）组织教职工学习自主诊改有关文件和学院内部质量保证体系诊断与改进工作实施细则。</w:t>
      </w:r>
    </w:p>
    <w:p>
      <w:pPr>
        <w:spacing w:line="400" w:lineRule="exact"/>
        <w:ind w:firstLine="562" w:firstLineChars="200"/>
        <w:rPr>
          <w:rFonts w:ascii="宋体" w:hAnsi="宋体"/>
          <w:b/>
          <w:bCs/>
          <w:sz w:val="28"/>
          <w:szCs w:val="28"/>
        </w:rPr>
      </w:pPr>
      <w:r>
        <w:rPr>
          <w:rFonts w:ascii="宋体" w:hAnsi="宋体"/>
          <w:b/>
          <w:bCs/>
          <w:sz w:val="28"/>
          <w:szCs w:val="28"/>
        </w:rPr>
        <w:t>2、自查自建阶段（2017年1月-6月）</w:t>
      </w:r>
    </w:p>
    <w:p>
      <w:pPr>
        <w:spacing w:line="400" w:lineRule="exact"/>
        <w:ind w:firstLine="560" w:firstLineChars="200"/>
        <w:rPr>
          <w:rFonts w:ascii="宋体" w:hAnsi="宋体"/>
          <w:sz w:val="28"/>
          <w:szCs w:val="28"/>
        </w:rPr>
      </w:pPr>
      <w:r>
        <w:rPr>
          <w:rFonts w:ascii="宋体" w:hAnsi="宋体"/>
          <w:sz w:val="28"/>
          <w:szCs w:val="28"/>
        </w:rPr>
        <w:t>立足《学院事业发展规划及其他子规划》、《学院所在地区的区域经济社会事业发展规划》、学生满意度调查分析、状态数据平台分析基础，本着“需求导向、自我保证，多元诊断、重在改进”工作方针，开展自查自建工作。</w:t>
      </w:r>
    </w:p>
    <w:p>
      <w:pPr>
        <w:spacing w:line="400" w:lineRule="exact"/>
        <w:ind w:firstLine="560" w:firstLineChars="200"/>
        <w:rPr>
          <w:rFonts w:ascii="宋体" w:hAnsi="宋体"/>
          <w:sz w:val="28"/>
          <w:szCs w:val="28"/>
        </w:rPr>
      </w:pPr>
      <w:r>
        <w:rPr>
          <w:rFonts w:ascii="宋体" w:hAnsi="宋体"/>
          <w:sz w:val="28"/>
          <w:szCs w:val="28"/>
        </w:rPr>
        <w:t>（1）继续深入理解有关内部质量保证体系诊改工作相关文件，按照诊改要求，分阶段、针对性开展学习培训活动。</w:t>
      </w:r>
    </w:p>
    <w:p>
      <w:pPr>
        <w:spacing w:line="400" w:lineRule="exact"/>
        <w:ind w:firstLine="560" w:firstLineChars="200"/>
        <w:rPr>
          <w:rFonts w:ascii="宋体" w:hAnsi="宋体"/>
          <w:sz w:val="28"/>
          <w:szCs w:val="28"/>
        </w:rPr>
      </w:pPr>
      <w:r>
        <w:rPr>
          <w:rFonts w:ascii="宋体" w:hAnsi="宋体"/>
          <w:sz w:val="28"/>
          <w:szCs w:val="28"/>
        </w:rPr>
        <w:t>（2）各单位成立诊改工作小组，分析所在单位人才培养工作状态数据，制订所在单位的诊改工作计划。</w:t>
      </w:r>
    </w:p>
    <w:p>
      <w:pPr>
        <w:spacing w:line="400" w:lineRule="exact"/>
        <w:ind w:firstLine="560" w:firstLineChars="200"/>
        <w:rPr>
          <w:rFonts w:ascii="宋体" w:hAnsi="宋体"/>
          <w:sz w:val="28"/>
          <w:szCs w:val="28"/>
        </w:rPr>
      </w:pPr>
      <w:r>
        <w:rPr>
          <w:rFonts w:ascii="宋体" w:hAnsi="宋体"/>
          <w:sz w:val="28"/>
          <w:szCs w:val="28"/>
        </w:rPr>
        <w:t>（3）各单位设质量管理员，负责对本单位执行内部质量诊改工作的情况进行日常监督。</w:t>
      </w:r>
    </w:p>
    <w:p>
      <w:pPr>
        <w:spacing w:line="400" w:lineRule="exact"/>
        <w:ind w:firstLine="560" w:firstLineChars="200"/>
        <w:rPr>
          <w:rFonts w:ascii="宋体" w:hAnsi="宋体"/>
          <w:sz w:val="28"/>
          <w:szCs w:val="28"/>
        </w:rPr>
      </w:pPr>
      <w:r>
        <w:rPr>
          <w:rFonts w:ascii="宋体" w:hAnsi="宋体"/>
          <w:sz w:val="28"/>
          <w:szCs w:val="28"/>
        </w:rPr>
        <w:t>（4）分析近年来“人才培养工作状态数据采集平台”数据，撰写学院近2年《人才培养工作状态数据分析报告》，并逐条对照内部质量保证体系诊断与改进指标体系，全面反思，立即行动，查找存在问题。</w:t>
      </w:r>
    </w:p>
    <w:p>
      <w:pPr>
        <w:spacing w:line="400" w:lineRule="exact"/>
        <w:ind w:firstLine="560" w:firstLineChars="200"/>
        <w:rPr>
          <w:rFonts w:ascii="宋体" w:hAnsi="宋体"/>
          <w:sz w:val="28"/>
          <w:szCs w:val="28"/>
        </w:rPr>
      </w:pPr>
      <w:r>
        <w:rPr>
          <w:rFonts w:ascii="宋体" w:hAnsi="宋体"/>
          <w:sz w:val="28"/>
          <w:szCs w:val="28"/>
        </w:rPr>
        <w:t>（5）开展在校生、毕业生满意度调查分析，整理、撰写学院面向在校生及近3届毕业生开展的《学生满意度调查分析报告》。</w:t>
      </w:r>
    </w:p>
    <w:p>
      <w:pPr>
        <w:spacing w:line="400" w:lineRule="exact"/>
        <w:ind w:firstLine="560" w:firstLineChars="200"/>
        <w:rPr>
          <w:rFonts w:ascii="宋体" w:hAnsi="宋体"/>
          <w:sz w:val="28"/>
          <w:szCs w:val="28"/>
        </w:rPr>
      </w:pPr>
      <w:r>
        <w:rPr>
          <w:rFonts w:ascii="宋体" w:hAnsi="宋体"/>
          <w:sz w:val="28"/>
          <w:szCs w:val="28"/>
        </w:rPr>
        <w:t>（5）各牵头部门组织各单位依据填报数据和诊改计划，逐条对照高等职业院校内部质量保证体系诊断要素，收集支撑性材料，进行自我分析诊断。</w:t>
      </w:r>
    </w:p>
    <w:p>
      <w:pPr>
        <w:spacing w:line="400" w:lineRule="exact"/>
        <w:ind w:firstLine="560" w:firstLineChars="200"/>
        <w:rPr>
          <w:rFonts w:ascii="宋体" w:hAnsi="宋体"/>
          <w:sz w:val="28"/>
          <w:szCs w:val="28"/>
        </w:rPr>
      </w:pPr>
      <w:r>
        <w:rPr>
          <w:rFonts w:ascii="宋体" w:hAnsi="宋体"/>
          <w:sz w:val="28"/>
          <w:szCs w:val="28"/>
        </w:rPr>
        <w:t>（6）牵头部门组织人员按照分工，对各诊断项目对应的支撑材料和数据进行第一轮检查，提出诊改意见。</w:t>
      </w:r>
    </w:p>
    <w:p>
      <w:pPr>
        <w:spacing w:line="400" w:lineRule="exact"/>
        <w:ind w:firstLine="560" w:firstLineChars="200"/>
        <w:rPr>
          <w:rFonts w:ascii="宋体" w:hAnsi="宋体"/>
          <w:sz w:val="28"/>
          <w:szCs w:val="28"/>
        </w:rPr>
      </w:pPr>
      <w:r>
        <w:rPr>
          <w:rFonts w:ascii="宋体" w:hAnsi="宋体"/>
          <w:sz w:val="28"/>
          <w:szCs w:val="28"/>
        </w:rPr>
        <w:t>（7）开展学院内部质量保证体系诊断与改进工作第一轮检查总结会，通报诊断结果，分析工作中存在的问题与差距，向各单位下达整改方案，落实整改任务，积极扎实进行整改。</w:t>
      </w:r>
    </w:p>
    <w:p>
      <w:pPr>
        <w:spacing w:line="400" w:lineRule="exact"/>
        <w:ind w:firstLine="562" w:firstLineChars="200"/>
        <w:rPr>
          <w:rFonts w:ascii="宋体" w:hAnsi="宋体"/>
          <w:b/>
          <w:bCs/>
          <w:sz w:val="28"/>
          <w:szCs w:val="28"/>
        </w:rPr>
      </w:pPr>
      <w:r>
        <w:rPr>
          <w:rFonts w:ascii="宋体" w:hAnsi="宋体"/>
          <w:b/>
          <w:bCs/>
          <w:sz w:val="28"/>
          <w:szCs w:val="28"/>
        </w:rPr>
        <w:t>3、自评诊改阶段（2017年7月-8月）</w:t>
      </w:r>
    </w:p>
    <w:p>
      <w:pPr>
        <w:spacing w:line="400" w:lineRule="exact"/>
        <w:ind w:firstLine="560" w:firstLineChars="200"/>
        <w:rPr>
          <w:rFonts w:ascii="宋体" w:hAnsi="宋体"/>
          <w:sz w:val="28"/>
          <w:szCs w:val="28"/>
        </w:rPr>
      </w:pPr>
      <w:r>
        <w:rPr>
          <w:rFonts w:ascii="宋体" w:hAnsi="宋体"/>
          <w:sz w:val="28"/>
          <w:szCs w:val="28"/>
        </w:rPr>
        <w:t>（1）诊改工作办公室联合校外专家分项目开展学院内部质量保证体系诊断与改进工作第二轮检查总结会，重点检查第一轮检查中存在的问题，提出诊改意见，落实整改任务，积极扎实进行整改。</w:t>
      </w:r>
    </w:p>
    <w:p>
      <w:pPr>
        <w:spacing w:line="400" w:lineRule="exact"/>
        <w:ind w:firstLine="560" w:firstLineChars="200"/>
        <w:rPr>
          <w:rFonts w:ascii="宋体" w:hAnsi="宋体"/>
          <w:sz w:val="28"/>
          <w:szCs w:val="28"/>
        </w:rPr>
      </w:pPr>
      <w:r>
        <w:rPr>
          <w:rFonts w:ascii="宋体" w:hAnsi="宋体"/>
          <w:sz w:val="28"/>
          <w:szCs w:val="28"/>
        </w:rPr>
        <w:t>（2）各单位撰写近2年学院及校内职能部门、院系（部）的年度自我诊改报告，诊改工作办公室进行汇编。</w:t>
      </w:r>
    </w:p>
    <w:p>
      <w:pPr>
        <w:spacing w:line="400" w:lineRule="exact"/>
        <w:ind w:firstLine="560" w:firstLineChars="200"/>
        <w:rPr>
          <w:rFonts w:ascii="宋体" w:hAnsi="宋体"/>
          <w:sz w:val="28"/>
          <w:szCs w:val="28"/>
        </w:rPr>
      </w:pPr>
      <w:r>
        <w:rPr>
          <w:rFonts w:ascii="宋体" w:hAnsi="宋体"/>
          <w:sz w:val="28"/>
          <w:szCs w:val="28"/>
        </w:rPr>
        <w:t>（3）结合学生满意度调查分析报告、《学院事业发展规划及其他子规划》、《学院所在地区的区域经济社会事业发展规划》、数据分析报告和自主诊改效果撰写学院《内部质量保证体系自我诊断与改进工作报告》。</w:t>
      </w:r>
    </w:p>
    <w:p>
      <w:pPr>
        <w:spacing w:line="400" w:lineRule="exact"/>
        <w:ind w:firstLine="560" w:firstLineChars="200"/>
        <w:rPr>
          <w:rFonts w:ascii="宋体" w:hAnsi="宋体"/>
          <w:sz w:val="28"/>
          <w:szCs w:val="28"/>
        </w:rPr>
      </w:pPr>
      <w:r>
        <w:rPr>
          <w:rFonts w:ascii="宋体" w:hAnsi="宋体"/>
          <w:sz w:val="28"/>
          <w:szCs w:val="28"/>
        </w:rPr>
        <w:t>（4）将《学院内部质量保证体系自我诊断与改进工作报告》情况纳入本校质量年度报告，撰写近2年学院《人才培养质量年度报告》。</w:t>
      </w:r>
    </w:p>
    <w:p>
      <w:pPr>
        <w:spacing w:line="400" w:lineRule="exact"/>
        <w:ind w:firstLine="560" w:firstLineChars="200"/>
        <w:rPr>
          <w:rFonts w:ascii="宋体" w:hAnsi="宋体"/>
          <w:sz w:val="28"/>
          <w:szCs w:val="28"/>
        </w:rPr>
      </w:pPr>
      <w:r>
        <w:rPr>
          <w:rFonts w:ascii="宋体" w:hAnsi="宋体"/>
          <w:sz w:val="28"/>
          <w:szCs w:val="28"/>
        </w:rPr>
        <w:t>（5）将学院的《内部质量保证体系自我诊改报告》和质量年度报告报福建省诊改专委会办公室。</w:t>
      </w:r>
    </w:p>
    <w:p>
      <w:pPr>
        <w:spacing w:line="400" w:lineRule="exact"/>
        <w:ind w:firstLine="562" w:firstLineChars="200"/>
        <w:rPr>
          <w:rFonts w:ascii="宋体" w:hAnsi="宋体"/>
          <w:b/>
          <w:bCs/>
          <w:sz w:val="28"/>
          <w:szCs w:val="28"/>
        </w:rPr>
      </w:pPr>
      <w:r>
        <w:rPr>
          <w:rFonts w:ascii="宋体" w:hAnsi="宋体"/>
          <w:b/>
          <w:bCs/>
          <w:sz w:val="28"/>
          <w:szCs w:val="28"/>
        </w:rPr>
        <w:t>4、省级复核及准备阶段（2017年9月-10月）</w:t>
      </w:r>
    </w:p>
    <w:p>
      <w:pPr>
        <w:spacing w:line="400" w:lineRule="exact"/>
        <w:ind w:firstLine="560" w:firstLineChars="200"/>
        <w:rPr>
          <w:rFonts w:ascii="宋体" w:hAnsi="宋体"/>
          <w:sz w:val="28"/>
          <w:szCs w:val="28"/>
        </w:rPr>
      </w:pPr>
      <w:r>
        <w:rPr>
          <w:rFonts w:ascii="宋体" w:hAnsi="宋体"/>
          <w:sz w:val="28"/>
          <w:szCs w:val="28"/>
        </w:rPr>
        <w:t>（1）完善《内部质量保证体系自我诊断与改进工作报告》、近2年学校的《人才培养质量年度报告》、近2年学校的《人才培养工作状态数据分析报告》、近2年学校及校内职能部门、院（系）的年度自我诊改报告、学院面向在校生及近3届毕业生开展的学生满意度调查分析报告等报告，并将以上五份报告及《学院事业发展规划及其他子规划》、《学院所在地区的区域经济社会事业发展规划》等材料向社会公示。</w:t>
      </w:r>
    </w:p>
    <w:p>
      <w:pPr>
        <w:spacing w:line="400" w:lineRule="exact"/>
        <w:ind w:firstLine="560" w:firstLineChars="200"/>
        <w:rPr>
          <w:rFonts w:ascii="宋体" w:hAnsi="宋体"/>
          <w:sz w:val="28"/>
          <w:szCs w:val="28"/>
        </w:rPr>
      </w:pPr>
      <w:r>
        <w:rPr>
          <w:rFonts w:ascii="宋体" w:hAnsi="宋体"/>
          <w:sz w:val="28"/>
          <w:szCs w:val="28"/>
        </w:rPr>
        <w:t>（2）各单位完成诊改支撑材料并备查。</w:t>
      </w:r>
    </w:p>
    <w:p>
      <w:pPr>
        <w:spacing w:line="400" w:lineRule="exact"/>
        <w:ind w:firstLine="560" w:firstLineChars="200"/>
        <w:rPr>
          <w:rFonts w:ascii="宋体" w:hAnsi="宋体"/>
          <w:sz w:val="28"/>
          <w:szCs w:val="28"/>
        </w:rPr>
      </w:pPr>
      <w:r>
        <w:rPr>
          <w:rFonts w:ascii="宋体" w:hAnsi="宋体"/>
          <w:sz w:val="28"/>
          <w:szCs w:val="28"/>
        </w:rPr>
        <w:t>（3）确定专家组接待方案（行程、饮食、住宿、工作场所、活动安排等），成立评估接待组（材料组、联络组、后勤组、宣传组等）。</w:t>
      </w:r>
    </w:p>
    <w:p>
      <w:pPr>
        <w:spacing w:line="400" w:lineRule="exact"/>
        <w:ind w:firstLine="560" w:firstLineChars="200"/>
        <w:rPr>
          <w:rFonts w:ascii="宋体" w:hAnsi="宋体"/>
          <w:sz w:val="28"/>
          <w:szCs w:val="28"/>
        </w:rPr>
      </w:pPr>
      <w:r>
        <w:rPr>
          <w:rFonts w:ascii="宋体" w:hAnsi="宋体"/>
          <w:sz w:val="28"/>
          <w:szCs w:val="28"/>
        </w:rPr>
        <w:t>（4）营造校园迎评环境、做好省级专家进校检查、深度访谈和实地考察准备工作。</w:t>
      </w:r>
    </w:p>
    <w:p>
      <w:pPr>
        <w:numPr>
          <w:ilvl w:val="0"/>
          <w:numId w:val="1"/>
        </w:numPr>
        <w:spacing w:line="400" w:lineRule="exact"/>
        <w:rPr>
          <w:rFonts w:ascii="宋体" w:hAnsi="宋体"/>
          <w:sz w:val="28"/>
          <w:szCs w:val="28"/>
        </w:rPr>
      </w:pPr>
      <w:r>
        <w:rPr>
          <w:rFonts w:ascii="宋体" w:hAnsi="宋体"/>
          <w:sz w:val="28"/>
          <w:szCs w:val="28"/>
        </w:rPr>
        <w:t>根据现场诊改方案，配合专家组开展现场复核工作。</w:t>
      </w:r>
    </w:p>
    <w:p>
      <w:pPr>
        <w:spacing w:line="400" w:lineRule="exact"/>
        <w:ind w:left="562"/>
        <w:rPr>
          <w:rFonts w:ascii="宋体" w:hAnsi="宋体"/>
          <w:b/>
          <w:bCs/>
          <w:sz w:val="28"/>
          <w:szCs w:val="28"/>
        </w:rPr>
      </w:pPr>
      <w:r>
        <w:rPr>
          <w:rFonts w:ascii="宋体" w:hAnsi="宋体"/>
          <w:b/>
          <w:bCs/>
          <w:sz w:val="28"/>
          <w:szCs w:val="28"/>
        </w:rPr>
        <w:t>5、整改提高阶段（2017年11月-2017年11月）</w:t>
      </w:r>
    </w:p>
    <w:p>
      <w:pPr>
        <w:spacing w:line="400" w:lineRule="exact"/>
        <w:ind w:firstLine="560" w:firstLineChars="200"/>
        <w:rPr>
          <w:rFonts w:ascii="宋体" w:hAnsi="宋体"/>
          <w:bCs/>
          <w:sz w:val="28"/>
          <w:szCs w:val="28"/>
        </w:rPr>
      </w:pPr>
      <w:r>
        <w:rPr>
          <w:rFonts w:ascii="宋体" w:hAnsi="宋体"/>
          <w:bCs/>
          <w:sz w:val="28"/>
          <w:szCs w:val="28"/>
        </w:rPr>
        <w:t>（1）召开学院内部质保体系诊改工作总结工作会议。</w:t>
      </w:r>
    </w:p>
    <w:p>
      <w:pPr>
        <w:spacing w:line="400" w:lineRule="exact"/>
        <w:ind w:firstLine="560" w:firstLineChars="200"/>
        <w:rPr>
          <w:rFonts w:ascii="宋体" w:hAnsi="宋体"/>
          <w:bCs/>
          <w:sz w:val="28"/>
          <w:szCs w:val="28"/>
        </w:rPr>
      </w:pPr>
      <w:r>
        <w:rPr>
          <w:rFonts w:ascii="宋体" w:hAnsi="宋体"/>
          <w:bCs/>
          <w:sz w:val="28"/>
          <w:szCs w:val="28"/>
        </w:rPr>
        <w:t>（2）根据专家组提出的意见对诊改工作进行全面总结，制定整改方案。</w:t>
      </w:r>
    </w:p>
    <w:p>
      <w:pPr>
        <w:spacing w:line="400" w:lineRule="exact"/>
        <w:ind w:firstLine="560" w:firstLineChars="200"/>
        <w:rPr>
          <w:rFonts w:ascii="宋体" w:hAnsi="宋体"/>
          <w:bCs/>
          <w:sz w:val="28"/>
          <w:szCs w:val="28"/>
        </w:rPr>
      </w:pPr>
      <w:r>
        <w:rPr>
          <w:rFonts w:ascii="宋体" w:hAnsi="宋体"/>
          <w:bCs/>
          <w:sz w:val="28"/>
          <w:szCs w:val="28"/>
        </w:rPr>
        <w:t>（3）根据整改方案，检查与跟进整改工作的落实与执行，进一步提高学院人才培养工作水平和办学实力。</w:t>
      </w:r>
    </w:p>
    <w:p>
      <w:pPr>
        <w:spacing w:line="400" w:lineRule="exact"/>
        <w:ind w:firstLine="560" w:firstLineChars="200"/>
        <w:rPr>
          <w:rFonts w:ascii="宋体" w:hAnsi="宋体"/>
          <w:bCs/>
          <w:sz w:val="28"/>
          <w:szCs w:val="28"/>
        </w:rPr>
      </w:pPr>
      <w:r>
        <w:rPr>
          <w:rFonts w:ascii="宋体" w:hAnsi="宋体"/>
          <w:bCs/>
          <w:sz w:val="28"/>
          <w:szCs w:val="28"/>
        </w:rPr>
        <w:t>（4）撰写并提交整改工作总结报告。</w:t>
      </w:r>
    </w:p>
    <w:p>
      <w:pPr>
        <w:spacing w:line="400" w:lineRule="exact"/>
        <w:ind w:firstLine="560" w:firstLineChars="200"/>
        <w:rPr>
          <w:rFonts w:ascii="宋体" w:hAnsi="宋体"/>
          <w:sz w:val="28"/>
          <w:szCs w:val="28"/>
        </w:rPr>
      </w:pPr>
      <w:r>
        <w:rPr>
          <w:rFonts w:ascii="宋体" w:hAnsi="宋体"/>
          <w:bCs/>
          <w:sz w:val="28"/>
          <w:szCs w:val="28"/>
        </w:rPr>
        <w:t>（5）专家组回查落实整改方案情况。</w:t>
      </w:r>
    </w:p>
    <w:p>
      <w:pPr>
        <w:spacing w:line="400" w:lineRule="exact"/>
        <w:ind w:left="420" w:leftChars="200"/>
        <w:rPr>
          <w:rFonts w:ascii="宋体" w:hAnsi="宋体"/>
          <w:b/>
          <w:bCs/>
          <w:sz w:val="28"/>
          <w:szCs w:val="28"/>
        </w:rPr>
      </w:pPr>
      <w:r>
        <w:rPr>
          <w:rFonts w:ascii="宋体" w:hAnsi="宋体"/>
          <w:b/>
          <w:bCs/>
          <w:sz w:val="28"/>
          <w:szCs w:val="28"/>
        </w:rPr>
        <w:t>七、组织保障</w:t>
      </w:r>
    </w:p>
    <w:p>
      <w:pPr>
        <w:spacing w:line="400" w:lineRule="exact"/>
        <w:ind w:left="420" w:leftChars="200"/>
        <w:rPr>
          <w:rFonts w:ascii="宋体" w:hAnsi="宋体"/>
          <w:b/>
          <w:bCs/>
          <w:sz w:val="28"/>
          <w:szCs w:val="28"/>
        </w:rPr>
      </w:pPr>
      <w:r>
        <w:rPr>
          <w:rFonts w:ascii="宋体" w:hAnsi="宋体"/>
          <w:b/>
          <w:bCs/>
          <w:sz w:val="28"/>
          <w:szCs w:val="28"/>
        </w:rPr>
        <w:t>1、成立学院诊改工作领导小组</w:t>
      </w:r>
    </w:p>
    <w:p>
      <w:pPr>
        <w:spacing w:line="400" w:lineRule="exact"/>
        <w:ind w:firstLine="560" w:firstLineChars="200"/>
        <w:rPr>
          <w:rFonts w:ascii="宋体" w:hAnsi="宋体"/>
          <w:sz w:val="28"/>
          <w:szCs w:val="28"/>
        </w:rPr>
      </w:pPr>
      <w:r>
        <w:rPr>
          <w:rFonts w:ascii="宋体" w:hAnsi="宋体"/>
          <w:sz w:val="28"/>
          <w:szCs w:val="28"/>
        </w:rPr>
        <w:t>学院将成立诊改工作领导小组，统一领导、全面指挥、组织自主诊改工作。领导小组下设诊改工作办公室（挂靠质控中心），负责全院内部诊改工作的日常组织、布置、协调、检查和督促工作，并成立相应的诊改专项工作组，负责具体工作的开展和落实。</w:t>
      </w:r>
    </w:p>
    <w:p>
      <w:pPr>
        <w:spacing w:line="400" w:lineRule="exact"/>
        <w:ind w:firstLine="562" w:firstLineChars="200"/>
        <w:rPr>
          <w:rFonts w:ascii="宋体" w:hAnsi="宋体"/>
          <w:b/>
          <w:bCs/>
          <w:sz w:val="28"/>
          <w:szCs w:val="28"/>
        </w:rPr>
      </w:pPr>
      <w:r>
        <w:rPr>
          <w:rFonts w:ascii="宋体" w:hAnsi="宋体"/>
          <w:b/>
          <w:bCs/>
          <w:sz w:val="28"/>
          <w:szCs w:val="28"/>
        </w:rPr>
        <w:t>2、完善内部质量保证标准和制度体系</w:t>
      </w:r>
    </w:p>
    <w:p>
      <w:pPr>
        <w:spacing w:line="400" w:lineRule="exact"/>
        <w:ind w:firstLine="560" w:firstLineChars="200"/>
        <w:rPr>
          <w:rFonts w:ascii="宋体" w:hAnsi="宋体"/>
          <w:sz w:val="28"/>
          <w:szCs w:val="28"/>
        </w:rPr>
      </w:pPr>
      <w:r>
        <w:rPr>
          <w:rFonts w:ascii="宋体" w:hAnsi="宋体"/>
          <w:sz w:val="28"/>
          <w:szCs w:val="28"/>
        </w:rPr>
        <w:t>学院各职能部门、院系（部）要依据莆田市经济、行业产业发展需求，在不低于《福建省高职院校内部质量保证体系诊断与改进指标体系》（见附件1）要求的基础上，结合院校实际，形成完整、规范，彰显学院特色的《内部质量保证体系诊断与改进指标体系》，建立开放多元的内部质量保证制度，定期开展内部质量的自我诊改，推动质量保证工作持续改进并形成良性循环。</w:t>
      </w:r>
    </w:p>
    <w:p>
      <w:pPr>
        <w:spacing w:line="400" w:lineRule="exact"/>
        <w:ind w:left="420" w:leftChars="200"/>
        <w:rPr>
          <w:rFonts w:ascii="宋体" w:hAnsi="宋体"/>
          <w:b/>
          <w:bCs/>
          <w:sz w:val="28"/>
          <w:szCs w:val="28"/>
        </w:rPr>
      </w:pPr>
      <w:r>
        <w:rPr>
          <w:rFonts w:ascii="宋体" w:hAnsi="宋体"/>
          <w:b/>
          <w:bCs/>
          <w:sz w:val="28"/>
          <w:szCs w:val="28"/>
        </w:rPr>
        <w:t>3、加强内部质量保证诊改工作的督查落实</w:t>
      </w:r>
    </w:p>
    <w:p>
      <w:pPr>
        <w:spacing w:line="400" w:lineRule="exact"/>
        <w:ind w:firstLine="560" w:firstLineChars="200"/>
        <w:rPr>
          <w:rFonts w:ascii="宋体" w:hAnsi="宋体"/>
          <w:sz w:val="28"/>
          <w:szCs w:val="28"/>
        </w:rPr>
      </w:pPr>
      <w:r>
        <w:rPr>
          <w:rFonts w:ascii="宋体" w:hAnsi="宋体"/>
          <w:sz w:val="28"/>
          <w:szCs w:val="28"/>
        </w:rPr>
        <w:t>诊改工作是全院各领域的诊改，需要全体教职工直接参与、履行责任，各项工作必须责任到部门，落实到具体人员。各部门、各院系（部）必须认真学习文件、研读指标、挖掘内涵，理解质保体系重要内容，依据学院《内部质量保证体系诊断与改进工作实施细则（试行）》、《内部质量保证体系诊断与改进指标体系》，以落实改进为重点，进一步细化工作任务安排，用足够科学合理的支撑材料来作为影响因素的判断依据，尤其要重视特色性体系及特色性诊改支撑材料的挖掘。各单位在材料的收集工程中剖析自身存在的问题，科学诊改，定向改进，理清现状，根据判定因素，完善诊断支撑性材料，重视精心提炼学院质保体系特色，实现强化与细节并进。</w:t>
      </w:r>
    </w:p>
    <w:p>
      <w:pPr>
        <w:spacing w:line="400" w:lineRule="exact"/>
        <w:ind w:firstLine="560" w:firstLineChars="200"/>
        <w:rPr>
          <w:rFonts w:ascii="宋体" w:hAnsi="宋体"/>
          <w:sz w:val="28"/>
          <w:szCs w:val="28"/>
        </w:rPr>
      </w:pPr>
      <w:r>
        <w:rPr>
          <w:rFonts w:ascii="宋体" w:hAnsi="宋体"/>
          <w:sz w:val="28"/>
          <w:szCs w:val="28"/>
        </w:rPr>
        <w:t>内部诊改作为学院一项重大改革，必须严明责任、严肃追责，要与年度考核、评优评先、支撑评聘、岗位调整直接挂钩。各职能部门、各院系（部）领导作为第一责任人，要根据诊改工作领导小组、诊改工作办公室要求，全面督查所在单位诊改进度，定期反馈、上报诊改情况。</w:t>
      </w:r>
    </w:p>
    <w:p>
      <w:pPr>
        <w:spacing w:line="400" w:lineRule="exact"/>
        <w:ind w:firstLine="562" w:firstLineChars="200"/>
        <w:rPr>
          <w:rFonts w:ascii="宋体" w:hAnsi="宋体"/>
          <w:b/>
          <w:bCs/>
          <w:sz w:val="28"/>
          <w:szCs w:val="28"/>
        </w:rPr>
      </w:pPr>
      <w:r>
        <w:rPr>
          <w:rFonts w:ascii="宋体" w:hAnsi="宋体"/>
          <w:b/>
          <w:bCs/>
          <w:sz w:val="28"/>
          <w:szCs w:val="28"/>
        </w:rPr>
        <w:t>4、建立质量保证信息发布与监控系统</w:t>
      </w:r>
    </w:p>
    <w:p>
      <w:pPr>
        <w:spacing w:line="400" w:lineRule="exact"/>
        <w:ind w:firstLine="560" w:firstLineChars="200"/>
        <w:rPr>
          <w:rFonts w:ascii="宋体" w:hAnsi="宋体"/>
          <w:sz w:val="28"/>
          <w:szCs w:val="28"/>
        </w:rPr>
      </w:pPr>
      <w:r>
        <w:rPr>
          <w:rFonts w:ascii="宋体" w:hAnsi="宋体"/>
          <w:sz w:val="28"/>
          <w:szCs w:val="28"/>
        </w:rPr>
        <w:t>学院根据自身特点，完善数据平台在内部管理运行中的状态分析和监控功能，使之不仅能进行日常内部管理和质量监控，还能满足查找问题与薄弱环节的需要。定期发布内部诊改工作报告，并按照“PDCA”（计划、执行、检查和行动的不断循环）持续改进，确保内部诊改目标的达成，使诊改工作常态化。</w:t>
      </w:r>
    </w:p>
    <w:p>
      <w:pPr>
        <w:spacing w:line="400" w:lineRule="exact"/>
        <w:jc w:val="left"/>
        <w:rPr>
          <w:rFonts w:hint="eastAsia" w:ascii="宋体" w:hAnsi="宋体"/>
          <w:sz w:val="28"/>
          <w:szCs w:val="28"/>
        </w:rPr>
      </w:pPr>
    </w:p>
    <w:p>
      <w:pPr>
        <w:spacing w:line="400" w:lineRule="exact"/>
        <w:ind w:firstLine="640" w:firstLineChars="200"/>
        <w:jc w:val="left"/>
        <w:rPr>
          <w:rFonts w:ascii="仿宋" w:hAnsi="仿宋" w:eastAsia="仿宋"/>
          <w:sz w:val="32"/>
          <w:szCs w:val="32"/>
        </w:rPr>
      </w:pPr>
      <w:r>
        <w:rPr>
          <w:rFonts w:hint="eastAsia" w:ascii="仿宋" w:hAnsi="仿宋" w:eastAsia="仿宋"/>
          <w:sz w:val="32"/>
          <w:szCs w:val="32"/>
        </w:rPr>
        <w:t>附件2－1：湄洲湾职业技术学院内部质量保证体系诊断与改进指标体系</w:t>
      </w:r>
    </w:p>
    <w:p>
      <w:pPr>
        <w:sectPr>
          <w:pgSz w:w="11906" w:h="16838"/>
          <w:pgMar w:top="1440" w:right="1800" w:bottom="1440" w:left="1800" w:header="851" w:footer="992" w:gutter="0"/>
          <w:cols w:space="425" w:num="1"/>
          <w:docGrid w:type="lines" w:linePitch="312" w:charSpace="0"/>
        </w:sectPr>
      </w:pPr>
    </w:p>
    <w:p>
      <w:pPr>
        <w:jc w:val="left"/>
        <w:rPr>
          <w:rFonts w:hint="eastAsia" w:ascii="黑体" w:hAnsi="黑体" w:eastAsia="黑体"/>
          <w:sz w:val="32"/>
          <w:szCs w:val="32"/>
        </w:rPr>
      </w:pPr>
      <w:r>
        <w:rPr>
          <w:rFonts w:hint="eastAsia" w:ascii="黑体" w:hAnsi="黑体" w:eastAsia="黑体"/>
          <w:sz w:val="32"/>
          <w:szCs w:val="32"/>
        </w:rPr>
        <w:t>附件2－1：</w:t>
      </w:r>
    </w:p>
    <w:p>
      <w:pPr>
        <w:adjustRightInd w:val="0"/>
        <w:snapToGrid w:val="0"/>
        <w:spacing w:line="360" w:lineRule="auto"/>
        <w:jc w:val="center"/>
        <w:rPr>
          <w:rFonts w:hint="eastAsia" w:ascii="黑体" w:hAnsi="黑体" w:eastAsia="黑体"/>
          <w:sz w:val="32"/>
          <w:szCs w:val="32"/>
        </w:rPr>
      </w:pPr>
      <w:r>
        <w:rPr>
          <w:rFonts w:hint="eastAsia" w:ascii="黑体" w:hAnsi="黑体" w:eastAsia="黑体"/>
          <w:sz w:val="32"/>
          <w:szCs w:val="32"/>
        </w:rPr>
        <w:t>湄洲湾职业技术学院内部质量保证体系诊断与改进指标体系</w:t>
      </w:r>
    </w:p>
    <w:tbl>
      <w:tblPr>
        <w:tblStyle w:val="6"/>
        <w:tblW w:w="14862" w:type="dxa"/>
        <w:jc w:val="center"/>
        <w:tblInd w:w="-77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4"/>
        <w:gridCol w:w="724"/>
        <w:gridCol w:w="897"/>
        <w:gridCol w:w="4650"/>
        <w:gridCol w:w="5103"/>
        <w:gridCol w:w="1096"/>
        <w:gridCol w:w="13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04" w:type="dxa"/>
            <w:shd w:val="clear" w:color="auto" w:fill="auto"/>
            <w:vAlign w:val="center"/>
          </w:tcPr>
          <w:p>
            <w:pPr>
              <w:jc w:val="center"/>
              <w:rPr>
                <w:rFonts w:ascii="Times New Roman" w:hAnsi="Times New Roman"/>
                <w:b/>
                <w:sz w:val="24"/>
              </w:rPr>
            </w:pPr>
            <w:r>
              <w:rPr>
                <w:rFonts w:ascii="Times New Roman" w:hAnsi="宋体"/>
                <w:b/>
                <w:sz w:val="24"/>
              </w:rPr>
              <w:t>诊断</w:t>
            </w:r>
          </w:p>
          <w:p>
            <w:pPr>
              <w:jc w:val="center"/>
              <w:rPr>
                <w:rFonts w:ascii="Times New Roman" w:hAnsi="Times New Roman"/>
                <w:b/>
                <w:sz w:val="24"/>
              </w:rPr>
            </w:pPr>
            <w:r>
              <w:rPr>
                <w:rFonts w:ascii="Times New Roman" w:hAnsi="宋体"/>
                <w:b/>
                <w:sz w:val="24"/>
              </w:rPr>
              <w:t>项目</w:t>
            </w:r>
          </w:p>
        </w:tc>
        <w:tc>
          <w:tcPr>
            <w:tcW w:w="724" w:type="dxa"/>
            <w:shd w:val="clear" w:color="auto" w:fill="auto"/>
            <w:vAlign w:val="center"/>
          </w:tcPr>
          <w:p>
            <w:pPr>
              <w:jc w:val="center"/>
              <w:rPr>
                <w:rFonts w:ascii="Times New Roman" w:hAnsi="Times New Roman"/>
                <w:b/>
                <w:sz w:val="24"/>
              </w:rPr>
            </w:pPr>
            <w:r>
              <w:rPr>
                <w:rFonts w:ascii="Times New Roman" w:hAnsi="宋体"/>
                <w:b/>
                <w:sz w:val="24"/>
              </w:rPr>
              <w:t>诊断</w:t>
            </w:r>
          </w:p>
          <w:p>
            <w:pPr>
              <w:jc w:val="center"/>
              <w:rPr>
                <w:rFonts w:ascii="Times New Roman" w:hAnsi="Times New Roman"/>
                <w:b/>
                <w:sz w:val="24"/>
              </w:rPr>
            </w:pPr>
            <w:r>
              <w:rPr>
                <w:rFonts w:ascii="Times New Roman" w:hAnsi="宋体"/>
                <w:b/>
                <w:sz w:val="24"/>
              </w:rPr>
              <w:t>要素</w:t>
            </w:r>
          </w:p>
        </w:tc>
        <w:tc>
          <w:tcPr>
            <w:tcW w:w="897" w:type="dxa"/>
            <w:shd w:val="clear" w:color="auto" w:fill="auto"/>
            <w:vAlign w:val="center"/>
          </w:tcPr>
          <w:p>
            <w:pPr>
              <w:jc w:val="center"/>
              <w:rPr>
                <w:rFonts w:ascii="Times New Roman" w:hAnsi="Times New Roman"/>
                <w:b/>
                <w:sz w:val="24"/>
              </w:rPr>
            </w:pPr>
            <w:r>
              <w:rPr>
                <w:rFonts w:ascii="Times New Roman" w:hAnsi="宋体"/>
                <w:b/>
                <w:sz w:val="24"/>
              </w:rPr>
              <w:t>诊断点</w:t>
            </w:r>
          </w:p>
        </w:tc>
        <w:tc>
          <w:tcPr>
            <w:tcW w:w="4650" w:type="dxa"/>
            <w:shd w:val="clear" w:color="auto" w:fill="auto"/>
            <w:vAlign w:val="center"/>
          </w:tcPr>
          <w:p>
            <w:pPr>
              <w:jc w:val="center"/>
              <w:rPr>
                <w:rFonts w:ascii="Times New Roman" w:hAnsi="Times New Roman"/>
                <w:b/>
                <w:sz w:val="24"/>
              </w:rPr>
            </w:pPr>
            <w:r>
              <w:rPr>
                <w:rFonts w:ascii="Times New Roman" w:hAnsi="宋体"/>
                <w:b/>
                <w:sz w:val="24"/>
              </w:rPr>
              <w:t>影响因素</w:t>
            </w:r>
          </w:p>
        </w:tc>
        <w:tc>
          <w:tcPr>
            <w:tcW w:w="5103" w:type="dxa"/>
            <w:vAlign w:val="center"/>
          </w:tcPr>
          <w:p>
            <w:pPr>
              <w:jc w:val="center"/>
              <w:rPr>
                <w:rFonts w:ascii="Times New Roman" w:hAnsi="Times New Roman"/>
                <w:b/>
                <w:sz w:val="24"/>
              </w:rPr>
            </w:pPr>
            <w:r>
              <w:rPr>
                <w:rFonts w:hint="eastAsia" w:ascii="Times New Roman" w:hAnsi="Times New Roman"/>
                <w:b/>
                <w:sz w:val="24"/>
              </w:rPr>
              <w:t>主要佐证材料</w:t>
            </w:r>
          </w:p>
        </w:tc>
        <w:tc>
          <w:tcPr>
            <w:tcW w:w="1096" w:type="dxa"/>
            <w:vAlign w:val="center"/>
          </w:tcPr>
          <w:p>
            <w:pPr>
              <w:jc w:val="center"/>
              <w:rPr>
                <w:rFonts w:hint="eastAsia" w:ascii="Times New Roman" w:hAnsi="Times New Roman"/>
                <w:b/>
                <w:sz w:val="24"/>
              </w:rPr>
            </w:pPr>
            <w:r>
              <w:rPr>
                <w:rFonts w:hint="eastAsia" w:ascii="Times New Roman" w:hAnsi="Times New Roman"/>
                <w:b/>
                <w:sz w:val="24"/>
              </w:rPr>
              <w:t>牵头</w:t>
            </w:r>
          </w:p>
          <w:p>
            <w:pPr>
              <w:jc w:val="center"/>
              <w:rPr>
                <w:rFonts w:ascii="Times New Roman" w:hAnsi="Times New Roman"/>
                <w:b/>
                <w:sz w:val="24"/>
              </w:rPr>
            </w:pPr>
            <w:r>
              <w:rPr>
                <w:rFonts w:hint="eastAsia" w:ascii="Times New Roman" w:hAnsi="Times New Roman"/>
                <w:b/>
                <w:sz w:val="24"/>
              </w:rPr>
              <w:t>部门</w:t>
            </w:r>
          </w:p>
        </w:tc>
        <w:tc>
          <w:tcPr>
            <w:tcW w:w="1388" w:type="dxa"/>
            <w:vAlign w:val="center"/>
          </w:tcPr>
          <w:p>
            <w:pPr>
              <w:jc w:val="center"/>
              <w:rPr>
                <w:rFonts w:hint="eastAsia" w:ascii="Times New Roman" w:hAnsi="Times New Roman"/>
                <w:b/>
                <w:sz w:val="24"/>
              </w:rPr>
            </w:pPr>
            <w:r>
              <w:rPr>
                <w:rFonts w:hint="eastAsia" w:ascii="Times New Roman" w:hAnsi="Times New Roman"/>
                <w:b/>
                <w:sz w:val="24"/>
              </w:rPr>
              <w:t>主要涉及部门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37" w:hRule="atLeast"/>
          <w:jc w:val="center"/>
        </w:trPr>
        <w:tc>
          <w:tcPr>
            <w:tcW w:w="1004" w:type="dxa"/>
            <w:vMerge w:val="restart"/>
            <w:shd w:val="clear" w:color="auto" w:fill="auto"/>
            <w:vAlign w:val="center"/>
          </w:tcPr>
          <w:p>
            <w:pPr>
              <w:jc w:val="center"/>
              <w:rPr>
                <w:rFonts w:ascii="Times New Roman" w:hAnsi="Times New Roman"/>
                <w:b/>
                <w:sz w:val="24"/>
              </w:rPr>
            </w:pPr>
            <w:r>
              <w:rPr>
                <w:rFonts w:ascii="Times New Roman" w:hAnsi="Times New Roman"/>
                <w:b/>
                <w:sz w:val="24"/>
              </w:rPr>
              <w:t>1</w:t>
            </w:r>
          </w:p>
          <w:p>
            <w:pPr>
              <w:jc w:val="center"/>
              <w:rPr>
                <w:rFonts w:hint="eastAsia" w:ascii="Times New Roman" w:hAnsi="宋体"/>
                <w:b/>
                <w:sz w:val="24"/>
              </w:rPr>
            </w:pPr>
            <w:r>
              <w:rPr>
                <w:rFonts w:ascii="Times New Roman" w:hAnsi="宋体"/>
                <w:b/>
                <w:sz w:val="24"/>
              </w:rPr>
              <w:t>体系总体构架</w:t>
            </w:r>
          </w:p>
          <w:p>
            <w:pPr>
              <w:jc w:val="center"/>
              <w:rPr>
                <w:rFonts w:ascii="Times New Roman" w:hAnsi="Times New Roman"/>
                <w:b/>
                <w:sz w:val="24"/>
              </w:rPr>
            </w:pPr>
            <w:r>
              <w:rPr>
                <w:rFonts w:hint="eastAsia" w:ascii="Times New Roman" w:hAnsi="Times New Roman"/>
                <w:b/>
                <w:sz w:val="24"/>
              </w:rPr>
              <w:t>（负责部门：办公室）</w:t>
            </w:r>
          </w:p>
        </w:tc>
        <w:tc>
          <w:tcPr>
            <w:tcW w:w="724" w:type="dxa"/>
            <w:vMerge w:val="restart"/>
            <w:shd w:val="clear" w:color="auto" w:fill="auto"/>
            <w:vAlign w:val="center"/>
          </w:tcPr>
          <w:p>
            <w:pPr>
              <w:jc w:val="center"/>
              <w:rPr>
                <w:rFonts w:ascii="Times New Roman" w:hAnsi="Times New Roman"/>
                <w:szCs w:val="21"/>
              </w:rPr>
            </w:pPr>
            <w:r>
              <w:rPr>
                <w:rFonts w:ascii="Times New Roman" w:hAnsi="Times New Roman"/>
                <w:szCs w:val="21"/>
              </w:rPr>
              <w:t>1.1</w:t>
            </w:r>
            <w:r>
              <w:rPr>
                <w:rFonts w:ascii="Times New Roman" w:hAnsi="宋体"/>
                <w:szCs w:val="21"/>
              </w:rPr>
              <w:t>质量保证理念</w:t>
            </w:r>
          </w:p>
        </w:tc>
        <w:tc>
          <w:tcPr>
            <w:tcW w:w="897" w:type="dxa"/>
            <w:shd w:val="clear" w:color="auto" w:fill="auto"/>
            <w:vAlign w:val="center"/>
          </w:tcPr>
          <w:p>
            <w:pPr>
              <w:jc w:val="center"/>
              <w:rPr>
                <w:rFonts w:ascii="Times New Roman" w:hAnsi="Times New Roman"/>
                <w:szCs w:val="21"/>
              </w:rPr>
            </w:pPr>
            <w:r>
              <w:rPr>
                <w:rFonts w:ascii="Times New Roman" w:hAnsi="宋体"/>
                <w:szCs w:val="21"/>
              </w:rPr>
              <w:t>质量目标与定位</w:t>
            </w:r>
          </w:p>
        </w:tc>
        <w:tc>
          <w:tcPr>
            <w:tcW w:w="4650" w:type="dxa"/>
            <w:shd w:val="clear" w:color="auto" w:fill="auto"/>
            <w:vAlign w:val="center"/>
          </w:tcPr>
          <w:p>
            <w:pPr>
              <w:rPr>
                <w:rFonts w:ascii="Times New Roman" w:hAnsi="Times New Roman"/>
                <w:szCs w:val="21"/>
              </w:rPr>
            </w:pPr>
            <w:r>
              <w:rPr>
                <w:rFonts w:ascii="Times New Roman" w:hAnsi="Times New Roman"/>
                <w:szCs w:val="21"/>
              </w:rPr>
              <w:fldChar w:fldCharType="begin"/>
            </w:r>
            <w:r>
              <w:rPr>
                <w:rFonts w:ascii="Times New Roman" w:hAnsi="Times New Roman"/>
                <w:szCs w:val="21"/>
              </w:rPr>
              <w:instrText xml:space="preserve"> = 1 \* GB3 </w:instrText>
            </w:r>
            <w:r>
              <w:rPr>
                <w:rFonts w:ascii="Times New Roman" w:hAnsi="Times New Roman"/>
                <w:szCs w:val="21"/>
              </w:rPr>
              <w:fldChar w:fldCharType="separate"/>
            </w:r>
            <w:r>
              <w:rPr>
                <w:rFonts w:ascii="宋体" w:hAnsi="宋体"/>
                <w:szCs w:val="21"/>
              </w:rPr>
              <w:t>①</w:t>
            </w:r>
            <w:r>
              <w:rPr>
                <w:rFonts w:ascii="Times New Roman" w:hAnsi="Times New Roman"/>
                <w:szCs w:val="21"/>
              </w:rPr>
              <w:fldChar w:fldCharType="end"/>
            </w:r>
            <w:r>
              <w:rPr>
                <w:rFonts w:ascii="Times New Roman" w:hAnsi="宋体"/>
                <w:szCs w:val="21"/>
              </w:rPr>
              <w:t>根据中国（福建）自由贸易试验区、</w:t>
            </w:r>
            <w:r>
              <w:rPr>
                <w:rFonts w:ascii="Times New Roman" w:hAnsi="Times New Roman"/>
                <w:szCs w:val="21"/>
              </w:rPr>
              <w:t>21</w:t>
            </w:r>
            <w:r>
              <w:rPr>
                <w:rFonts w:ascii="Times New Roman" w:hAnsi="宋体"/>
                <w:szCs w:val="21"/>
              </w:rPr>
              <w:t>世纪海上丝绸之路核心区建设、生态文明先行示范区建设等国家和省重大战略需求及区域经济社会发展需要、学校的办学优势和现代职业教育发展要求，准确定位学校发展目标；</w:t>
            </w:r>
          </w:p>
          <w:p>
            <w:pPr>
              <w:rPr>
                <w:rFonts w:ascii="Times New Roman" w:hAnsi="Times New Roman"/>
                <w:szCs w:val="21"/>
              </w:rPr>
            </w:pPr>
            <w:r>
              <w:rPr>
                <w:rFonts w:ascii="Times New Roman" w:hAnsi="Times New Roman"/>
                <w:szCs w:val="21"/>
              </w:rPr>
              <w:fldChar w:fldCharType="begin"/>
            </w:r>
            <w:r>
              <w:rPr>
                <w:rFonts w:ascii="Times New Roman" w:hAnsi="Times New Roman"/>
                <w:szCs w:val="21"/>
              </w:rPr>
              <w:instrText xml:space="preserve"> = 2 \* GB3 </w:instrText>
            </w:r>
            <w:r>
              <w:rPr>
                <w:rFonts w:ascii="Times New Roman" w:hAnsi="Times New Roman"/>
                <w:szCs w:val="21"/>
              </w:rPr>
              <w:fldChar w:fldCharType="separate"/>
            </w:r>
            <w:r>
              <w:rPr>
                <w:rFonts w:ascii="宋体" w:hAnsi="宋体"/>
                <w:szCs w:val="21"/>
              </w:rPr>
              <w:t>②</w:t>
            </w:r>
            <w:r>
              <w:rPr>
                <w:rFonts w:ascii="Times New Roman" w:hAnsi="Times New Roman"/>
                <w:szCs w:val="21"/>
              </w:rPr>
              <w:fldChar w:fldCharType="end"/>
            </w:r>
            <w:r>
              <w:rPr>
                <w:rFonts w:ascii="Times New Roman" w:hAnsi="宋体"/>
                <w:kern w:val="0"/>
                <w:szCs w:val="21"/>
              </w:rPr>
              <w:t>面向区域产业、行业发展需要，科学确立</w:t>
            </w:r>
            <w:r>
              <w:rPr>
                <w:rFonts w:ascii="Times New Roman" w:hAnsi="宋体"/>
                <w:szCs w:val="21"/>
              </w:rPr>
              <w:t>人才培养目标、规格</w:t>
            </w:r>
            <w:r>
              <w:rPr>
                <w:rFonts w:ascii="Times New Roman" w:hAnsi="宋体"/>
                <w:kern w:val="0"/>
                <w:szCs w:val="21"/>
              </w:rPr>
              <w:t>，区域性职业院校主要为区域产业培养技术技能人才，行业性职业院校主要为行业发展培养技术技能人才，形成鲜明办学特色；</w:t>
            </w:r>
          </w:p>
          <w:p>
            <w:pPr>
              <w:rPr>
                <w:rFonts w:ascii="Times New Roman" w:hAnsi="Times New Roman"/>
                <w:szCs w:val="21"/>
              </w:rPr>
            </w:pPr>
            <w:r>
              <w:rPr>
                <w:rFonts w:ascii="Times New Roman" w:hAnsi="Times New Roman"/>
                <w:szCs w:val="21"/>
              </w:rPr>
              <w:fldChar w:fldCharType="begin"/>
            </w:r>
            <w:r>
              <w:rPr>
                <w:rFonts w:ascii="Times New Roman" w:hAnsi="Times New Roman"/>
                <w:szCs w:val="21"/>
              </w:rPr>
              <w:instrText xml:space="preserve"> = 3 \* GB3 </w:instrText>
            </w:r>
            <w:r>
              <w:rPr>
                <w:rFonts w:ascii="Times New Roman" w:hAnsi="Times New Roman"/>
                <w:szCs w:val="21"/>
              </w:rPr>
              <w:fldChar w:fldCharType="separate"/>
            </w:r>
            <w:r>
              <w:rPr>
                <w:rFonts w:ascii="宋体" w:hAnsi="宋体"/>
                <w:szCs w:val="21"/>
              </w:rPr>
              <w:t>③</w:t>
            </w:r>
            <w:r>
              <w:rPr>
                <w:rFonts w:ascii="Times New Roman" w:hAnsi="Times New Roman"/>
                <w:szCs w:val="21"/>
              </w:rPr>
              <w:fldChar w:fldCharType="end"/>
            </w:r>
            <w:r>
              <w:rPr>
                <w:rFonts w:ascii="Times New Roman" w:hAnsi="宋体"/>
                <w:kern w:val="0"/>
                <w:szCs w:val="21"/>
              </w:rPr>
              <w:t>遵循职业教育规律和技术技能型人才成长规律，树立正确人才观，适应经济社会和人的全面发展需求，</w:t>
            </w:r>
            <w:r>
              <w:rPr>
                <w:rFonts w:ascii="Times New Roman" w:hAnsi="宋体"/>
                <w:szCs w:val="21"/>
              </w:rPr>
              <w:t>落实以</w:t>
            </w:r>
            <w:r>
              <w:rPr>
                <w:rFonts w:ascii="Times New Roman" w:hAnsi="宋体"/>
                <w:kern w:val="0"/>
                <w:szCs w:val="21"/>
              </w:rPr>
              <w:t>人</w:t>
            </w:r>
            <w:r>
              <w:rPr>
                <w:rFonts w:ascii="Times New Roman" w:hAnsi="宋体"/>
                <w:szCs w:val="21"/>
              </w:rPr>
              <w:t>为本、立德树人的根本任务；</w:t>
            </w:r>
          </w:p>
          <w:p>
            <w:pPr>
              <w:rPr>
                <w:rFonts w:ascii="Times New Roman" w:hAnsi="Times New Roman"/>
                <w:szCs w:val="21"/>
              </w:rPr>
            </w:pPr>
            <w:r>
              <w:rPr>
                <w:rFonts w:ascii="Times New Roman" w:hAnsi="Times New Roman"/>
                <w:szCs w:val="21"/>
              </w:rPr>
              <w:fldChar w:fldCharType="begin"/>
            </w:r>
            <w:r>
              <w:rPr>
                <w:rFonts w:ascii="Times New Roman" w:hAnsi="Times New Roman"/>
                <w:szCs w:val="21"/>
              </w:rPr>
              <w:instrText xml:space="preserve"> = 4 \* GB3 </w:instrText>
            </w:r>
            <w:r>
              <w:rPr>
                <w:rFonts w:ascii="Times New Roman" w:hAnsi="Times New Roman"/>
                <w:szCs w:val="21"/>
              </w:rPr>
              <w:fldChar w:fldCharType="separate"/>
            </w:r>
            <w:r>
              <w:rPr>
                <w:rFonts w:ascii="宋体" w:hAnsi="宋体"/>
                <w:szCs w:val="21"/>
              </w:rPr>
              <w:t>④</w:t>
            </w:r>
            <w:r>
              <w:rPr>
                <w:rFonts w:ascii="Times New Roman" w:hAnsi="Times New Roman"/>
                <w:szCs w:val="21"/>
              </w:rPr>
              <w:fldChar w:fldCharType="end"/>
            </w:r>
            <w:r>
              <w:rPr>
                <w:rFonts w:ascii="Times New Roman" w:hAnsi="宋体"/>
                <w:szCs w:val="21"/>
              </w:rPr>
              <w:t>质量保证目标与学校发展目标、人才培养目标具有较强一致性、达成度高。</w:t>
            </w:r>
          </w:p>
        </w:tc>
        <w:tc>
          <w:tcPr>
            <w:tcW w:w="5103" w:type="dxa"/>
            <w:vAlign w:val="center"/>
          </w:tcPr>
          <w:p>
            <w:pPr>
              <w:rPr>
                <w:rFonts w:hint="eastAsia"/>
                <w:szCs w:val="21"/>
              </w:rPr>
            </w:pPr>
            <w:r>
              <w:rPr>
                <w:rFonts w:hint="eastAsia"/>
                <w:szCs w:val="21"/>
              </w:rPr>
              <w:t>1、</w:t>
            </w:r>
            <w:r>
              <w:rPr>
                <w:szCs w:val="21"/>
              </w:rPr>
              <w:t>湄洲湾职业技术学院章程；</w:t>
            </w:r>
          </w:p>
          <w:p>
            <w:pPr>
              <w:rPr>
                <w:rFonts w:hint="eastAsia" w:hAnsi="宋体"/>
                <w:szCs w:val="21"/>
              </w:rPr>
            </w:pPr>
            <w:r>
              <w:rPr>
                <w:rFonts w:hint="eastAsia"/>
                <w:szCs w:val="21"/>
              </w:rPr>
              <w:t>2、</w:t>
            </w:r>
            <w:r>
              <w:rPr>
                <w:rFonts w:hAnsi="宋体"/>
                <w:szCs w:val="21"/>
              </w:rPr>
              <w:t>福建省国民经济和社会发展</w:t>
            </w:r>
            <w:r>
              <w:rPr>
                <w:szCs w:val="21"/>
              </w:rPr>
              <w:t>“</w:t>
            </w:r>
            <w:r>
              <w:rPr>
                <w:rFonts w:hAnsi="宋体"/>
                <w:szCs w:val="21"/>
              </w:rPr>
              <w:t>十二五</w:t>
            </w:r>
            <w:r>
              <w:rPr>
                <w:szCs w:val="21"/>
              </w:rPr>
              <w:t>”</w:t>
            </w:r>
            <w:r>
              <w:rPr>
                <w:rFonts w:hAnsi="宋体"/>
                <w:szCs w:val="21"/>
              </w:rPr>
              <w:t>、</w:t>
            </w:r>
            <w:r>
              <w:rPr>
                <w:szCs w:val="21"/>
              </w:rPr>
              <w:t>“</w:t>
            </w:r>
            <w:r>
              <w:rPr>
                <w:rFonts w:hAnsi="宋体"/>
                <w:szCs w:val="21"/>
              </w:rPr>
              <w:t>十三五</w:t>
            </w:r>
            <w:r>
              <w:rPr>
                <w:szCs w:val="21"/>
              </w:rPr>
              <w:t>”</w:t>
            </w:r>
            <w:r>
              <w:rPr>
                <w:rFonts w:hAnsi="宋体"/>
                <w:szCs w:val="21"/>
              </w:rPr>
              <w:t>规划；</w:t>
            </w:r>
          </w:p>
          <w:p>
            <w:pPr>
              <w:rPr>
                <w:rFonts w:hint="eastAsia" w:hAnsi="宋体"/>
                <w:szCs w:val="21"/>
              </w:rPr>
            </w:pPr>
            <w:r>
              <w:rPr>
                <w:rFonts w:hint="eastAsia"/>
                <w:szCs w:val="21"/>
              </w:rPr>
              <w:t>3、</w:t>
            </w:r>
            <w:r>
              <w:rPr>
                <w:rFonts w:hAnsi="宋体"/>
                <w:szCs w:val="21"/>
              </w:rPr>
              <w:t>莆田市国民经济和社会发展</w:t>
            </w:r>
            <w:r>
              <w:rPr>
                <w:szCs w:val="21"/>
              </w:rPr>
              <w:t>“</w:t>
            </w:r>
            <w:r>
              <w:rPr>
                <w:rFonts w:hAnsi="宋体"/>
                <w:szCs w:val="21"/>
              </w:rPr>
              <w:t>十二五</w:t>
            </w:r>
            <w:r>
              <w:rPr>
                <w:szCs w:val="21"/>
              </w:rPr>
              <w:t xml:space="preserve">” </w:t>
            </w:r>
            <w:r>
              <w:rPr>
                <w:rFonts w:hAnsi="宋体"/>
                <w:szCs w:val="21"/>
              </w:rPr>
              <w:t>、</w:t>
            </w:r>
            <w:r>
              <w:rPr>
                <w:szCs w:val="21"/>
              </w:rPr>
              <w:t>“</w:t>
            </w:r>
            <w:r>
              <w:rPr>
                <w:rFonts w:hAnsi="宋体"/>
                <w:szCs w:val="21"/>
              </w:rPr>
              <w:t>十三五</w:t>
            </w:r>
            <w:r>
              <w:rPr>
                <w:szCs w:val="21"/>
              </w:rPr>
              <w:t>”</w:t>
            </w:r>
            <w:r>
              <w:rPr>
                <w:rFonts w:hAnsi="宋体"/>
                <w:szCs w:val="21"/>
              </w:rPr>
              <w:t>规划；</w:t>
            </w:r>
          </w:p>
          <w:p>
            <w:pPr>
              <w:rPr>
                <w:rFonts w:hint="eastAsia" w:hAnsi="宋体"/>
                <w:szCs w:val="21"/>
              </w:rPr>
            </w:pPr>
            <w:r>
              <w:rPr>
                <w:rFonts w:hint="eastAsia"/>
                <w:szCs w:val="21"/>
              </w:rPr>
              <w:t>4、</w:t>
            </w:r>
            <w:r>
              <w:rPr>
                <w:rFonts w:hAnsi="宋体"/>
                <w:szCs w:val="21"/>
              </w:rPr>
              <w:t>学院事业发展规划（</w:t>
            </w:r>
            <w:r>
              <w:rPr>
                <w:szCs w:val="21"/>
              </w:rPr>
              <w:t>“</w:t>
            </w:r>
            <w:r>
              <w:rPr>
                <w:rFonts w:hAnsi="宋体"/>
                <w:szCs w:val="21"/>
              </w:rPr>
              <w:t>十二五</w:t>
            </w:r>
            <w:r>
              <w:rPr>
                <w:szCs w:val="21"/>
              </w:rPr>
              <w:t xml:space="preserve">” </w:t>
            </w:r>
            <w:r>
              <w:rPr>
                <w:rFonts w:hAnsi="宋体"/>
                <w:szCs w:val="21"/>
              </w:rPr>
              <w:t>、</w:t>
            </w:r>
            <w:r>
              <w:rPr>
                <w:szCs w:val="21"/>
              </w:rPr>
              <w:t>“</w:t>
            </w:r>
            <w:r>
              <w:rPr>
                <w:rFonts w:hAnsi="宋体"/>
                <w:szCs w:val="21"/>
              </w:rPr>
              <w:t>十三五</w:t>
            </w:r>
            <w:r>
              <w:rPr>
                <w:szCs w:val="21"/>
              </w:rPr>
              <w:t>”</w:t>
            </w:r>
            <w:r>
              <w:rPr>
                <w:rFonts w:hAnsi="宋体"/>
                <w:szCs w:val="21"/>
              </w:rPr>
              <w:t>）；</w:t>
            </w:r>
          </w:p>
          <w:p>
            <w:pPr>
              <w:rPr>
                <w:rFonts w:hint="eastAsia" w:hAnsi="宋体"/>
                <w:szCs w:val="21"/>
              </w:rPr>
            </w:pPr>
            <w:r>
              <w:rPr>
                <w:rFonts w:hint="eastAsia"/>
                <w:szCs w:val="21"/>
              </w:rPr>
              <w:t>5、</w:t>
            </w:r>
            <w:r>
              <w:rPr>
                <w:rFonts w:hint="eastAsia" w:hAnsi="宋体"/>
                <w:szCs w:val="21"/>
              </w:rPr>
              <w:t>学院师资队伍建设规划</w:t>
            </w:r>
            <w:r>
              <w:rPr>
                <w:rFonts w:hAnsi="宋体"/>
                <w:szCs w:val="21"/>
              </w:rPr>
              <w:t>（</w:t>
            </w:r>
            <w:r>
              <w:rPr>
                <w:szCs w:val="21"/>
              </w:rPr>
              <w:t>“</w:t>
            </w:r>
            <w:r>
              <w:rPr>
                <w:rFonts w:hAnsi="宋体"/>
                <w:szCs w:val="21"/>
              </w:rPr>
              <w:t>十二五</w:t>
            </w:r>
            <w:r>
              <w:rPr>
                <w:szCs w:val="21"/>
              </w:rPr>
              <w:t xml:space="preserve">” </w:t>
            </w:r>
            <w:r>
              <w:rPr>
                <w:rFonts w:hAnsi="宋体"/>
                <w:szCs w:val="21"/>
              </w:rPr>
              <w:t>、</w:t>
            </w:r>
            <w:r>
              <w:rPr>
                <w:szCs w:val="21"/>
              </w:rPr>
              <w:t>“</w:t>
            </w:r>
            <w:r>
              <w:rPr>
                <w:rFonts w:hAnsi="宋体"/>
                <w:szCs w:val="21"/>
              </w:rPr>
              <w:t>十三五</w:t>
            </w:r>
            <w:r>
              <w:rPr>
                <w:szCs w:val="21"/>
              </w:rPr>
              <w:t>”</w:t>
            </w:r>
            <w:r>
              <w:rPr>
                <w:rFonts w:hAnsi="宋体"/>
                <w:szCs w:val="21"/>
              </w:rPr>
              <w:t>）</w:t>
            </w:r>
            <w:r>
              <w:rPr>
                <w:rFonts w:hint="eastAsia" w:hAnsi="宋体"/>
                <w:szCs w:val="21"/>
              </w:rPr>
              <w:t>；</w:t>
            </w:r>
          </w:p>
          <w:p>
            <w:pPr>
              <w:rPr>
                <w:rFonts w:hint="eastAsia" w:hAnsi="宋体"/>
                <w:szCs w:val="21"/>
              </w:rPr>
            </w:pPr>
            <w:r>
              <w:rPr>
                <w:rFonts w:hint="eastAsia"/>
                <w:szCs w:val="21"/>
              </w:rPr>
              <w:t>6、</w:t>
            </w:r>
            <w:r>
              <w:rPr>
                <w:rFonts w:hAnsi="宋体"/>
                <w:szCs w:val="21"/>
              </w:rPr>
              <w:t>学院专业建设发展规划（</w:t>
            </w:r>
            <w:r>
              <w:rPr>
                <w:szCs w:val="21"/>
              </w:rPr>
              <w:t>“</w:t>
            </w:r>
            <w:r>
              <w:rPr>
                <w:rFonts w:hAnsi="宋体"/>
                <w:szCs w:val="21"/>
              </w:rPr>
              <w:t>十二五</w:t>
            </w:r>
            <w:r>
              <w:rPr>
                <w:szCs w:val="21"/>
              </w:rPr>
              <w:t>”</w:t>
            </w:r>
            <w:r>
              <w:rPr>
                <w:rFonts w:hAnsi="宋体"/>
                <w:szCs w:val="21"/>
              </w:rPr>
              <w:t>、</w:t>
            </w:r>
            <w:r>
              <w:rPr>
                <w:szCs w:val="21"/>
              </w:rPr>
              <w:t xml:space="preserve"> “</w:t>
            </w:r>
            <w:r>
              <w:rPr>
                <w:rFonts w:hAnsi="宋体"/>
                <w:szCs w:val="21"/>
              </w:rPr>
              <w:t>十三五</w:t>
            </w:r>
            <w:r>
              <w:rPr>
                <w:szCs w:val="21"/>
              </w:rPr>
              <w:t>”</w:t>
            </w:r>
            <w:r>
              <w:rPr>
                <w:rFonts w:hAnsi="宋体"/>
                <w:szCs w:val="21"/>
              </w:rPr>
              <w:t>）</w:t>
            </w:r>
            <w:r>
              <w:rPr>
                <w:rFonts w:hint="eastAsia" w:hAnsi="宋体"/>
                <w:szCs w:val="21"/>
              </w:rPr>
              <w:t>；</w:t>
            </w:r>
          </w:p>
          <w:p>
            <w:pPr>
              <w:rPr>
                <w:rFonts w:hint="eastAsia" w:hAnsi="宋体"/>
                <w:szCs w:val="21"/>
              </w:rPr>
            </w:pPr>
            <w:r>
              <w:rPr>
                <w:rFonts w:hint="eastAsia" w:hAnsi="宋体"/>
                <w:szCs w:val="21"/>
              </w:rPr>
              <w:t>7、学院十三五实训基地建设规划；</w:t>
            </w:r>
          </w:p>
          <w:p>
            <w:pPr>
              <w:rPr>
                <w:rFonts w:ascii="Times New Roman" w:hAnsi="Times New Roman"/>
                <w:szCs w:val="21"/>
              </w:rPr>
            </w:pPr>
            <w:r>
              <w:rPr>
                <w:rFonts w:hint="eastAsia"/>
                <w:szCs w:val="21"/>
              </w:rPr>
              <w:t>8、</w:t>
            </w:r>
            <w:r>
              <w:rPr>
                <w:rFonts w:hAnsi="宋体"/>
                <w:szCs w:val="21"/>
              </w:rPr>
              <w:t>学院年度工作要点及工作总结</w:t>
            </w:r>
            <w:r>
              <w:rPr>
                <w:rFonts w:hint="eastAsia" w:hAnsi="宋体"/>
                <w:szCs w:val="21"/>
              </w:rPr>
              <w:t>（2015、2016年度）。</w:t>
            </w:r>
          </w:p>
        </w:tc>
        <w:tc>
          <w:tcPr>
            <w:tcW w:w="1096" w:type="dxa"/>
            <w:vAlign w:val="center"/>
          </w:tcPr>
          <w:p>
            <w:pPr>
              <w:jc w:val="center"/>
              <w:rPr>
                <w:rFonts w:hAnsi="宋体"/>
                <w:szCs w:val="21"/>
              </w:rPr>
            </w:pPr>
            <w:r>
              <w:rPr>
                <w:rFonts w:hAnsi="宋体"/>
                <w:szCs w:val="21"/>
              </w:rPr>
              <w:t>办公室</w:t>
            </w:r>
          </w:p>
        </w:tc>
        <w:tc>
          <w:tcPr>
            <w:tcW w:w="1388" w:type="dxa"/>
            <w:vAlign w:val="center"/>
          </w:tcPr>
          <w:p>
            <w:pPr>
              <w:jc w:val="center"/>
              <w:rPr>
                <w:rFonts w:hint="eastAsia" w:hAnsi="宋体"/>
                <w:szCs w:val="21"/>
              </w:rPr>
            </w:pPr>
            <w:r>
              <w:rPr>
                <w:rFonts w:hAnsi="宋体"/>
                <w:szCs w:val="21"/>
              </w:rPr>
              <w:t>办公室</w:t>
            </w:r>
          </w:p>
          <w:p>
            <w:pPr>
              <w:jc w:val="center"/>
              <w:rPr>
                <w:rFonts w:hint="eastAsia" w:hAnsi="宋体"/>
                <w:szCs w:val="21"/>
              </w:rPr>
            </w:pPr>
            <w:r>
              <w:rPr>
                <w:rFonts w:hint="eastAsia" w:hAnsi="宋体"/>
                <w:szCs w:val="21"/>
              </w:rPr>
              <w:t>人事处</w:t>
            </w:r>
          </w:p>
          <w:p>
            <w:pPr>
              <w:jc w:val="center"/>
              <w:rPr>
                <w:rFonts w:hAnsi="宋体"/>
                <w:szCs w:val="21"/>
              </w:rPr>
            </w:pPr>
            <w:r>
              <w:rPr>
                <w:rFonts w:hint="eastAsia" w:hAnsi="宋体"/>
                <w:szCs w:val="21"/>
              </w:rPr>
              <w:t>教务处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9" w:hRule="atLeast"/>
          <w:jc w:val="center"/>
        </w:trPr>
        <w:tc>
          <w:tcPr>
            <w:tcW w:w="1004" w:type="dxa"/>
            <w:vMerge w:val="continue"/>
            <w:shd w:val="clear" w:color="auto" w:fill="auto"/>
            <w:vAlign w:val="center"/>
          </w:tcPr>
          <w:p>
            <w:pPr>
              <w:jc w:val="center"/>
              <w:rPr>
                <w:rFonts w:ascii="Times New Roman" w:hAnsi="Times New Roman"/>
                <w:szCs w:val="21"/>
              </w:rPr>
            </w:pPr>
          </w:p>
        </w:tc>
        <w:tc>
          <w:tcPr>
            <w:tcW w:w="724" w:type="dxa"/>
            <w:vMerge w:val="continue"/>
            <w:shd w:val="clear" w:color="auto" w:fill="auto"/>
            <w:vAlign w:val="center"/>
          </w:tcPr>
          <w:p>
            <w:pPr>
              <w:jc w:val="center"/>
              <w:rPr>
                <w:rFonts w:ascii="Times New Roman" w:hAnsi="Times New Roman"/>
                <w:szCs w:val="21"/>
              </w:rPr>
            </w:pPr>
          </w:p>
        </w:tc>
        <w:tc>
          <w:tcPr>
            <w:tcW w:w="897" w:type="dxa"/>
            <w:shd w:val="clear" w:color="auto" w:fill="auto"/>
            <w:vAlign w:val="center"/>
          </w:tcPr>
          <w:p>
            <w:pPr>
              <w:jc w:val="center"/>
              <w:rPr>
                <w:rFonts w:ascii="Times New Roman" w:hAnsi="Times New Roman"/>
                <w:szCs w:val="21"/>
              </w:rPr>
            </w:pPr>
            <w:r>
              <w:rPr>
                <w:rFonts w:ascii="Times New Roman" w:hAnsi="宋体"/>
                <w:szCs w:val="21"/>
              </w:rPr>
              <w:t>质量保证规划</w:t>
            </w:r>
          </w:p>
        </w:tc>
        <w:tc>
          <w:tcPr>
            <w:tcW w:w="4650" w:type="dxa"/>
            <w:shd w:val="clear" w:color="auto" w:fill="auto"/>
            <w:vAlign w:val="center"/>
          </w:tcPr>
          <w:p>
            <w:pPr>
              <w:rPr>
                <w:rFonts w:ascii="Times New Roman" w:hAnsi="Times New Roman"/>
                <w:szCs w:val="21"/>
              </w:rPr>
            </w:pPr>
            <w:r>
              <w:rPr>
                <w:rFonts w:ascii="Times New Roman" w:hAnsi="Times New Roman"/>
                <w:szCs w:val="21"/>
              </w:rPr>
              <w:fldChar w:fldCharType="begin"/>
            </w:r>
            <w:r>
              <w:rPr>
                <w:rFonts w:ascii="Times New Roman" w:hAnsi="Times New Roman"/>
                <w:szCs w:val="21"/>
              </w:rPr>
              <w:instrText xml:space="preserve"> = 1 \* GB3 </w:instrText>
            </w:r>
            <w:r>
              <w:rPr>
                <w:rFonts w:ascii="Times New Roman" w:hAnsi="Times New Roman"/>
                <w:szCs w:val="21"/>
              </w:rPr>
              <w:fldChar w:fldCharType="separate"/>
            </w:r>
            <w:r>
              <w:rPr>
                <w:rFonts w:ascii="宋体" w:hAnsi="宋体"/>
                <w:szCs w:val="21"/>
              </w:rPr>
              <w:t>①</w:t>
            </w:r>
            <w:r>
              <w:rPr>
                <w:rFonts w:ascii="Times New Roman" w:hAnsi="Times New Roman"/>
                <w:szCs w:val="21"/>
              </w:rPr>
              <w:fldChar w:fldCharType="end"/>
            </w:r>
            <w:r>
              <w:rPr>
                <w:rFonts w:ascii="Times New Roman" w:hAnsi="宋体"/>
                <w:kern w:val="0"/>
                <w:szCs w:val="21"/>
              </w:rPr>
              <w:t>根</w:t>
            </w:r>
            <w:r>
              <w:rPr>
                <w:rFonts w:ascii="Times New Roman" w:hAnsi="宋体"/>
                <w:szCs w:val="21"/>
              </w:rPr>
              <w:t>据《福建省高等职业院校内部质量保证体系诊断与改进工作实施方案（试行）》，结合学校实际，制定学校教学诊断与改进工作实施细则，实际执行效果明显。</w:t>
            </w:r>
          </w:p>
        </w:tc>
        <w:tc>
          <w:tcPr>
            <w:tcW w:w="5103" w:type="dxa"/>
            <w:vAlign w:val="center"/>
          </w:tcPr>
          <w:p>
            <w:pPr>
              <w:rPr>
                <w:rFonts w:ascii="Times New Roman" w:hAnsi="Times New Roman"/>
                <w:szCs w:val="21"/>
              </w:rPr>
            </w:pPr>
            <w:r>
              <w:rPr>
                <w:rFonts w:hint="eastAsia" w:ascii="Times New Roman" w:hAnsi="Times New Roman"/>
                <w:szCs w:val="21"/>
              </w:rPr>
              <w:t>1、《</w:t>
            </w:r>
            <w:r>
              <w:rPr>
                <w:rFonts w:ascii="Times New Roman" w:hAnsi="宋体"/>
                <w:szCs w:val="21"/>
              </w:rPr>
              <w:t>学</w:t>
            </w:r>
            <w:r>
              <w:rPr>
                <w:rFonts w:hint="eastAsia" w:ascii="Times New Roman" w:hAnsi="宋体"/>
                <w:szCs w:val="21"/>
              </w:rPr>
              <w:t>院内部质量保证体系</w:t>
            </w:r>
            <w:r>
              <w:rPr>
                <w:rFonts w:ascii="Times New Roman" w:hAnsi="宋体"/>
                <w:szCs w:val="21"/>
              </w:rPr>
              <w:t>诊断与改进工作实施细则</w:t>
            </w:r>
            <w:r>
              <w:rPr>
                <w:rFonts w:hint="eastAsia" w:ascii="Times New Roman" w:hAnsi="宋体"/>
                <w:szCs w:val="21"/>
              </w:rPr>
              <w:t>》。</w:t>
            </w:r>
          </w:p>
        </w:tc>
        <w:tc>
          <w:tcPr>
            <w:tcW w:w="1096" w:type="dxa"/>
            <w:vAlign w:val="center"/>
          </w:tcPr>
          <w:p>
            <w:pPr>
              <w:jc w:val="center"/>
              <w:rPr>
                <w:rFonts w:hAnsi="宋体"/>
                <w:szCs w:val="21"/>
              </w:rPr>
            </w:pPr>
            <w:r>
              <w:rPr>
                <w:rFonts w:hint="eastAsia" w:hAnsi="宋体"/>
                <w:szCs w:val="21"/>
              </w:rPr>
              <w:t>质控中心</w:t>
            </w:r>
          </w:p>
        </w:tc>
        <w:tc>
          <w:tcPr>
            <w:tcW w:w="1388" w:type="dxa"/>
            <w:vAlign w:val="center"/>
          </w:tcPr>
          <w:p>
            <w:pPr>
              <w:jc w:val="center"/>
              <w:rPr>
                <w:rFonts w:hint="eastAsia" w:hAnsi="宋体"/>
                <w:szCs w:val="21"/>
              </w:rPr>
            </w:pPr>
            <w:r>
              <w:rPr>
                <w:rFonts w:hint="eastAsia" w:hAnsi="宋体"/>
                <w:szCs w:val="21"/>
              </w:rPr>
              <w:t>各部门</w:t>
            </w:r>
          </w:p>
          <w:p>
            <w:pPr>
              <w:jc w:val="center"/>
              <w:rPr>
                <w:rFonts w:hAnsi="宋体"/>
                <w:szCs w:val="21"/>
              </w:rPr>
            </w:pPr>
            <w:r>
              <w:rPr>
                <w:rFonts w:hint="eastAsia" w:hAnsi="宋体"/>
                <w:szCs w:val="21"/>
              </w:rPr>
              <w:t>各院系（部）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47" w:hRule="atLeast"/>
          <w:jc w:val="center"/>
        </w:trPr>
        <w:tc>
          <w:tcPr>
            <w:tcW w:w="1004" w:type="dxa"/>
            <w:vMerge w:val="continue"/>
            <w:shd w:val="clear" w:color="auto" w:fill="auto"/>
            <w:vAlign w:val="center"/>
          </w:tcPr>
          <w:p>
            <w:pPr>
              <w:jc w:val="center"/>
              <w:rPr>
                <w:rFonts w:ascii="Times New Roman" w:hAnsi="Times New Roman"/>
                <w:szCs w:val="21"/>
              </w:rPr>
            </w:pPr>
          </w:p>
        </w:tc>
        <w:tc>
          <w:tcPr>
            <w:tcW w:w="724" w:type="dxa"/>
            <w:vMerge w:val="continue"/>
            <w:shd w:val="clear" w:color="auto" w:fill="auto"/>
            <w:vAlign w:val="center"/>
          </w:tcPr>
          <w:p>
            <w:pPr>
              <w:jc w:val="center"/>
              <w:rPr>
                <w:rFonts w:ascii="Times New Roman" w:hAnsi="Times New Roman"/>
                <w:szCs w:val="21"/>
              </w:rPr>
            </w:pPr>
          </w:p>
        </w:tc>
        <w:tc>
          <w:tcPr>
            <w:tcW w:w="897" w:type="dxa"/>
            <w:shd w:val="clear" w:color="auto" w:fill="auto"/>
            <w:vAlign w:val="center"/>
          </w:tcPr>
          <w:p>
            <w:pPr>
              <w:jc w:val="center"/>
              <w:rPr>
                <w:rFonts w:ascii="Times New Roman" w:hAnsi="Times New Roman"/>
                <w:szCs w:val="21"/>
              </w:rPr>
            </w:pPr>
            <w:r>
              <w:rPr>
                <w:rFonts w:ascii="Times New Roman" w:hAnsi="宋体"/>
                <w:szCs w:val="21"/>
              </w:rPr>
              <w:t>质量文化建设</w:t>
            </w:r>
          </w:p>
        </w:tc>
        <w:tc>
          <w:tcPr>
            <w:tcW w:w="4650" w:type="dxa"/>
            <w:shd w:val="clear" w:color="auto" w:fill="auto"/>
            <w:vAlign w:val="center"/>
          </w:tcPr>
          <w:p>
            <w:pPr>
              <w:rPr>
                <w:rFonts w:ascii="Times New Roman" w:hAnsi="Times New Roman"/>
                <w:szCs w:val="21"/>
              </w:rPr>
            </w:pPr>
            <w:r>
              <w:rPr>
                <w:rFonts w:ascii="Times New Roman" w:hAnsi="Times New Roman"/>
                <w:szCs w:val="21"/>
              </w:rPr>
              <w:fldChar w:fldCharType="begin"/>
            </w:r>
            <w:r>
              <w:rPr>
                <w:rFonts w:ascii="Times New Roman" w:hAnsi="Times New Roman"/>
                <w:szCs w:val="21"/>
              </w:rPr>
              <w:instrText xml:space="preserve"> = 1 \* GB3 </w:instrText>
            </w:r>
            <w:r>
              <w:rPr>
                <w:rFonts w:ascii="Times New Roman" w:hAnsi="Times New Roman"/>
                <w:szCs w:val="21"/>
              </w:rPr>
              <w:fldChar w:fldCharType="separate"/>
            </w:r>
            <w:r>
              <w:rPr>
                <w:rFonts w:ascii="宋体" w:hAnsi="宋体"/>
                <w:szCs w:val="21"/>
              </w:rPr>
              <w:t>①</w:t>
            </w:r>
            <w:r>
              <w:rPr>
                <w:rFonts w:ascii="Times New Roman" w:hAnsi="Times New Roman"/>
                <w:szCs w:val="21"/>
              </w:rPr>
              <w:fldChar w:fldCharType="end"/>
            </w:r>
            <w:r>
              <w:rPr>
                <w:rFonts w:ascii="Times New Roman" w:hAnsi="宋体"/>
                <w:szCs w:val="21"/>
              </w:rPr>
              <w:t>师生质量意识强，</w:t>
            </w:r>
            <w:r>
              <w:rPr>
                <w:rFonts w:ascii="Times New Roman" w:hAnsi="宋体"/>
                <w:kern w:val="0"/>
                <w:szCs w:val="21"/>
              </w:rPr>
              <w:t>质量提升成为师生员工的共同追求</w:t>
            </w:r>
            <w:r>
              <w:rPr>
                <w:rFonts w:ascii="Times New Roman" w:hAnsi="宋体"/>
                <w:szCs w:val="21"/>
              </w:rPr>
              <w:t>；</w:t>
            </w:r>
          </w:p>
          <w:p>
            <w:pPr>
              <w:rPr>
                <w:rFonts w:ascii="Times New Roman" w:hAnsi="Times New Roman"/>
                <w:szCs w:val="21"/>
              </w:rPr>
            </w:pPr>
            <w:r>
              <w:rPr>
                <w:rFonts w:ascii="Times New Roman" w:hAnsi="Times New Roman"/>
                <w:szCs w:val="21"/>
              </w:rPr>
              <w:fldChar w:fldCharType="begin"/>
            </w:r>
            <w:r>
              <w:rPr>
                <w:rFonts w:ascii="Times New Roman" w:hAnsi="Times New Roman"/>
                <w:szCs w:val="21"/>
              </w:rPr>
              <w:instrText xml:space="preserve"> = 2 \* GB3 </w:instrText>
            </w:r>
            <w:r>
              <w:rPr>
                <w:rFonts w:ascii="Times New Roman" w:hAnsi="Times New Roman"/>
                <w:szCs w:val="21"/>
              </w:rPr>
              <w:fldChar w:fldCharType="separate"/>
            </w:r>
            <w:r>
              <w:rPr>
                <w:rFonts w:ascii="宋体" w:hAnsi="宋体"/>
                <w:szCs w:val="21"/>
              </w:rPr>
              <w:t>②</w:t>
            </w:r>
            <w:r>
              <w:rPr>
                <w:rFonts w:ascii="Times New Roman" w:hAnsi="Times New Roman"/>
                <w:szCs w:val="21"/>
              </w:rPr>
              <w:fldChar w:fldCharType="end"/>
            </w:r>
            <w:r>
              <w:rPr>
                <w:rFonts w:ascii="Times New Roman" w:hAnsi="宋体"/>
                <w:szCs w:val="21"/>
              </w:rPr>
              <w:t>质量文化氛围浓厚，各系（院）部追求质量提升的积极性与创造性被充分激发，质量保证成为自觉行动，切实做到全员参与；</w:t>
            </w:r>
          </w:p>
          <w:p>
            <w:pPr>
              <w:rPr>
                <w:rFonts w:ascii="Times New Roman" w:hAnsi="宋体"/>
                <w:szCs w:val="21"/>
              </w:rPr>
            </w:pPr>
            <w:r>
              <w:rPr>
                <w:rFonts w:ascii="Times New Roman" w:hAnsi="Times New Roman"/>
                <w:szCs w:val="21"/>
              </w:rPr>
              <w:fldChar w:fldCharType="begin"/>
            </w:r>
            <w:r>
              <w:rPr>
                <w:rFonts w:ascii="Times New Roman" w:hAnsi="Times New Roman"/>
                <w:szCs w:val="21"/>
              </w:rPr>
              <w:instrText xml:space="preserve"> = 3 \* GB3 </w:instrText>
            </w:r>
            <w:r>
              <w:rPr>
                <w:rFonts w:ascii="Times New Roman" w:hAnsi="Times New Roman"/>
                <w:szCs w:val="21"/>
              </w:rPr>
              <w:fldChar w:fldCharType="separate"/>
            </w:r>
            <w:r>
              <w:rPr>
                <w:rFonts w:ascii="宋体" w:hAnsi="宋体"/>
                <w:szCs w:val="21"/>
              </w:rPr>
              <w:t>③</w:t>
            </w:r>
            <w:r>
              <w:rPr>
                <w:rFonts w:ascii="Times New Roman" w:hAnsi="Times New Roman"/>
                <w:szCs w:val="21"/>
              </w:rPr>
              <w:fldChar w:fldCharType="end"/>
            </w:r>
            <w:r>
              <w:rPr>
                <w:rFonts w:ascii="Times New Roman" w:hAnsi="宋体"/>
                <w:szCs w:val="21"/>
              </w:rPr>
              <w:t>持续改进质量的制度设计科学有效，质量建设问题能及时反馈并得到持续改进。</w:t>
            </w:r>
          </w:p>
          <w:p>
            <w:pPr>
              <w:rPr>
                <w:rFonts w:ascii="Times New Roman" w:hAnsi="宋体"/>
                <w:szCs w:val="21"/>
              </w:rPr>
            </w:pPr>
            <w:r>
              <w:rPr>
                <w:rFonts w:ascii="Times New Roman" w:hAnsi="宋体"/>
                <w:szCs w:val="21"/>
              </w:rPr>
              <w:t xml:space="preserve">1. 增强职工对学校的认同感 </w:t>
            </w:r>
          </w:p>
          <w:p>
            <w:pPr>
              <w:rPr>
                <w:rFonts w:ascii="Times New Roman" w:hAnsi="宋体"/>
                <w:szCs w:val="21"/>
              </w:rPr>
            </w:pPr>
            <w:r>
              <w:rPr>
                <w:rFonts w:ascii="Times New Roman" w:hAnsi="宋体"/>
                <w:szCs w:val="21"/>
              </w:rPr>
              <w:t xml:space="preserve">2. 培养学生的参与意识 </w:t>
            </w:r>
          </w:p>
          <w:p>
            <w:pPr>
              <w:rPr>
                <w:rFonts w:ascii="Times New Roman" w:hAnsi="宋体"/>
                <w:szCs w:val="21"/>
              </w:rPr>
            </w:pPr>
            <w:r>
              <w:rPr>
                <w:rFonts w:ascii="Times New Roman" w:hAnsi="宋体"/>
                <w:szCs w:val="21"/>
              </w:rPr>
              <w:t xml:space="preserve">3. </w:t>
            </w:r>
            <w:r>
              <w:rPr>
                <w:rFonts w:hint="eastAsia" w:ascii="Times New Roman" w:hAnsi="宋体"/>
                <w:szCs w:val="21"/>
              </w:rPr>
              <w:t>重视内部沟通并赋予教职工权力</w:t>
            </w:r>
            <w:r>
              <w:rPr>
                <w:rFonts w:ascii="Times New Roman" w:hAnsi="宋体"/>
                <w:szCs w:val="21"/>
              </w:rPr>
              <w:t xml:space="preserve"> </w:t>
            </w:r>
          </w:p>
          <w:p>
            <w:pPr>
              <w:rPr>
                <w:rFonts w:ascii="Times New Roman" w:hAnsi="宋体"/>
                <w:szCs w:val="21"/>
              </w:rPr>
            </w:pPr>
            <w:r>
              <w:rPr>
                <w:rFonts w:ascii="Times New Roman" w:hAnsi="宋体"/>
                <w:szCs w:val="21"/>
              </w:rPr>
              <w:t xml:space="preserve">4. </w:t>
            </w:r>
            <w:r>
              <w:rPr>
                <w:rFonts w:hint="eastAsia" w:ascii="Times New Roman" w:hAnsi="宋体"/>
                <w:szCs w:val="21"/>
              </w:rPr>
              <w:t>对于评估程序和标准达成一致</w:t>
            </w:r>
            <w:r>
              <w:rPr>
                <w:rFonts w:ascii="Times New Roman" w:hAnsi="宋体"/>
                <w:szCs w:val="21"/>
              </w:rPr>
              <w:t xml:space="preserve"> </w:t>
            </w:r>
          </w:p>
          <w:p>
            <w:pPr>
              <w:rPr>
                <w:rFonts w:ascii="Times New Roman" w:hAnsi="宋体"/>
                <w:szCs w:val="21"/>
              </w:rPr>
            </w:pPr>
            <w:r>
              <w:rPr>
                <w:rFonts w:ascii="Times New Roman" w:hAnsi="宋体"/>
                <w:szCs w:val="21"/>
              </w:rPr>
              <w:t xml:space="preserve">5. </w:t>
            </w:r>
            <w:r>
              <w:rPr>
                <w:rFonts w:hint="eastAsia" w:ascii="Times New Roman" w:hAnsi="宋体"/>
                <w:szCs w:val="21"/>
              </w:rPr>
              <w:t>对于关键数据做系统的定义、收集和分析</w:t>
            </w:r>
            <w:r>
              <w:rPr>
                <w:rFonts w:ascii="Times New Roman" w:hAnsi="宋体"/>
                <w:szCs w:val="21"/>
              </w:rPr>
              <w:t xml:space="preserve"> </w:t>
            </w:r>
          </w:p>
          <w:p>
            <w:pPr>
              <w:rPr>
                <w:rFonts w:ascii="Times New Roman" w:hAnsi="宋体"/>
                <w:szCs w:val="21"/>
              </w:rPr>
            </w:pPr>
            <w:r>
              <w:rPr>
                <w:rFonts w:ascii="Times New Roman" w:hAnsi="宋体"/>
                <w:szCs w:val="21"/>
              </w:rPr>
              <w:t xml:space="preserve">6. </w:t>
            </w:r>
            <w:r>
              <w:rPr>
                <w:rFonts w:hint="eastAsia" w:ascii="Times New Roman" w:hAnsi="宋体"/>
                <w:szCs w:val="21"/>
              </w:rPr>
              <w:t>吸纳各方面</w:t>
            </w:r>
            <w:r>
              <w:rPr>
                <w:rFonts w:ascii="Times New Roman" w:hAnsi="宋体"/>
                <w:szCs w:val="21"/>
              </w:rPr>
              <w:t>(</w:t>
            </w:r>
            <w:r>
              <w:rPr>
                <w:rFonts w:hint="eastAsia" w:ascii="Times New Roman" w:hAnsi="宋体"/>
                <w:szCs w:val="21"/>
              </w:rPr>
              <w:t>教师、学生、家长、雇主等</w:t>
            </w:r>
            <w:r>
              <w:rPr>
                <w:rFonts w:ascii="Times New Roman" w:hAnsi="宋体"/>
                <w:szCs w:val="21"/>
              </w:rPr>
              <w:t>)</w:t>
            </w:r>
            <w:r>
              <w:rPr>
                <w:rFonts w:hint="eastAsia" w:ascii="Times New Roman" w:hAnsi="宋体"/>
                <w:szCs w:val="21"/>
              </w:rPr>
              <w:t>的适当参与</w:t>
            </w:r>
            <w:r>
              <w:rPr>
                <w:rFonts w:ascii="Times New Roman" w:hAnsi="宋体"/>
                <w:szCs w:val="21"/>
              </w:rPr>
              <w:t xml:space="preserve"> </w:t>
            </w:r>
          </w:p>
          <w:p>
            <w:pPr>
              <w:rPr>
                <w:rFonts w:ascii="Times New Roman" w:hAnsi="宋体"/>
                <w:szCs w:val="21"/>
              </w:rPr>
            </w:pPr>
            <w:r>
              <w:rPr>
                <w:rFonts w:ascii="Times New Roman" w:hAnsi="宋体"/>
                <w:szCs w:val="21"/>
              </w:rPr>
              <w:t xml:space="preserve">7. </w:t>
            </w:r>
            <w:r>
              <w:rPr>
                <w:rFonts w:hint="eastAsia" w:ascii="Times New Roman" w:hAnsi="宋体"/>
                <w:szCs w:val="21"/>
              </w:rPr>
              <w:t>重视自评</w:t>
            </w:r>
            <w:r>
              <w:rPr>
                <w:rFonts w:ascii="Times New Roman" w:hAnsi="宋体"/>
                <w:szCs w:val="21"/>
              </w:rPr>
              <w:t xml:space="preserve"> </w:t>
            </w:r>
          </w:p>
          <w:p>
            <w:pPr>
              <w:rPr>
                <w:rFonts w:ascii="Times New Roman" w:hAnsi="宋体"/>
                <w:szCs w:val="21"/>
              </w:rPr>
            </w:pPr>
            <w:r>
              <w:rPr>
                <w:rFonts w:ascii="Times New Roman" w:hAnsi="宋体"/>
                <w:szCs w:val="21"/>
              </w:rPr>
              <w:t xml:space="preserve">8. </w:t>
            </w:r>
            <w:r>
              <w:rPr>
                <w:rFonts w:hint="eastAsia" w:ascii="Times New Roman" w:hAnsi="宋体"/>
                <w:szCs w:val="21"/>
              </w:rPr>
              <w:t>评估后及时跟踪研究并改进工作</w:t>
            </w:r>
          </w:p>
        </w:tc>
        <w:tc>
          <w:tcPr>
            <w:tcW w:w="5103" w:type="dxa"/>
            <w:vAlign w:val="center"/>
          </w:tcPr>
          <w:p>
            <w:pPr>
              <w:rPr>
                <w:rFonts w:hint="eastAsia" w:ascii="Times New Roman" w:hAnsi="Times New Roman"/>
                <w:szCs w:val="21"/>
              </w:rPr>
            </w:pPr>
            <w:r>
              <w:rPr>
                <w:rFonts w:hint="eastAsia" w:ascii="Times New Roman" w:hAnsi="Times New Roman"/>
                <w:szCs w:val="21"/>
              </w:rPr>
              <w:t>1、《学院关于推进教学改革，提升教学质量的若干意见》；</w:t>
            </w:r>
          </w:p>
          <w:p>
            <w:pPr>
              <w:rPr>
                <w:rFonts w:hint="eastAsia" w:ascii="Times New Roman" w:hAnsi="Times New Roman"/>
                <w:szCs w:val="21"/>
              </w:rPr>
            </w:pPr>
            <w:r>
              <w:rPr>
                <w:rFonts w:hint="eastAsia" w:ascii="Times New Roman" w:hAnsi="Times New Roman"/>
                <w:szCs w:val="21"/>
              </w:rPr>
              <w:t>2、《学院大学生创新创业改革实施方案》；</w:t>
            </w:r>
          </w:p>
          <w:p>
            <w:pPr>
              <w:rPr>
                <w:rFonts w:hint="eastAsia" w:ascii="Times New Roman" w:hAnsi="Times New Roman"/>
                <w:szCs w:val="21"/>
              </w:rPr>
            </w:pPr>
            <w:r>
              <w:rPr>
                <w:rFonts w:hint="eastAsia" w:ascii="Times New Roman" w:hAnsi="Times New Roman"/>
                <w:szCs w:val="21"/>
              </w:rPr>
              <w:t>3、学院《关于教师自律公约》通知的文件；</w:t>
            </w:r>
          </w:p>
          <w:p>
            <w:pPr>
              <w:rPr>
                <w:rFonts w:hint="eastAsia" w:ascii="Times New Roman" w:hAnsi="Times New Roman"/>
                <w:szCs w:val="21"/>
              </w:rPr>
            </w:pPr>
            <w:r>
              <w:rPr>
                <w:rFonts w:hint="eastAsia" w:ascii="Times New Roman" w:hAnsi="Times New Roman"/>
                <w:szCs w:val="21"/>
              </w:rPr>
              <w:t>4、学院《关于学生自律公约》通知的文件；</w:t>
            </w:r>
          </w:p>
          <w:p>
            <w:pPr>
              <w:rPr>
                <w:rFonts w:hint="eastAsia" w:ascii="Times New Roman" w:hAnsi="Times New Roman"/>
                <w:szCs w:val="21"/>
              </w:rPr>
            </w:pPr>
            <w:r>
              <w:rPr>
                <w:rFonts w:hint="eastAsia" w:ascii="Times New Roman" w:hAnsi="Times New Roman"/>
                <w:szCs w:val="21"/>
              </w:rPr>
              <w:t>5、学院《关于以法治校的实施意见》（通知文件；</w:t>
            </w:r>
          </w:p>
          <w:p>
            <w:pPr>
              <w:rPr>
                <w:rFonts w:hint="eastAsia" w:ascii="Times New Roman" w:hAnsi="Times New Roman"/>
                <w:szCs w:val="21"/>
              </w:rPr>
            </w:pPr>
            <w:r>
              <w:rPr>
                <w:rFonts w:hint="eastAsia" w:ascii="Times New Roman" w:hAnsi="Times New Roman"/>
                <w:szCs w:val="21"/>
              </w:rPr>
              <w:t>6、学院建立师生建议与投诉反馈系统运行流程图；</w:t>
            </w:r>
          </w:p>
          <w:p>
            <w:pPr>
              <w:rPr>
                <w:rFonts w:hint="eastAsia" w:ascii="Times New Roman" w:hAnsi="Times New Roman"/>
                <w:szCs w:val="21"/>
              </w:rPr>
            </w:pPr>
            <w:r>
              <w:rPr>
                <w:rFonts w:hint="eastAsia" w:ascii="Times New Roman" w:hAnsi="Times New Roman"/>
                <w:szCs w:val="21"/>
              </w:rPr>
              <w:t>7、学院开展课堂教学研讨会资料汇编资料；</w:t>
            </w:r>
          </w:p>
          <w:p>
            <w:pPr>
              <w:rPr>
                <w:rFonts w:hint="eastAsia" w:ascii="Times New Roman" w:hAnsi="Times New Roman"/>
                <w:szCs w:val="21"/>
              </w:rPr>
            </w:pPr>
            <w:r>
              <w:rPr>
                <w:rFonts w:hint="eastAsia" w:ascii="Times New Roman" w:hAnsi="Times New Roman"/>
                <w:szCs w:val="21"/>
              </w:rPr>
              <w:t>8、</w:t>
            </w:r>
            <w:r>
              <w:rPr>
                <w:rFonts w:ascii="Times New Roman" w:hAnsi="Times New Roman"/>
                <w:szCs w:val="21"/>
              </w:rPr>
              <w:t>近三年学院学生省级、国家级评先评优成果资料；</w:t>
            </w:r>
          </w:p>
          <w:p>
            <w:pPr>
              <w:rPr>
                <w:rFonts w:hint="eastAsia" w:ascii="Times New Roman" w:hAnsi="Times New Roman"/>
                <w:szCs w:val="21"/>
              </w:rPr>
            </w:pPr>
            <w:r>
              <w:rPr>
                <w:rFonts w:hint="eastAsia" w:ascii="Times New Roman" w:hAnsi="Times New Roman"/>
                <w:szCs w:val="21"/>
              </w:rPr>
              <w:t>9、</w:t>
            </w:r>
            <w:r>
              <w:rPr>
                <w:rFonts w:ascii="Times New Roman" w:hAnsi="Times New Roman"/>
                <w:szCs w:val="21"/>
              </w:rPr>
              <w:t>学院获全国、全省校园文化优秀成果资料</w:t>
            </w:r>
            <w:r>
              <w:rPr>
                <w:rFonts w:hint="eastAsia" w:ascii="Times New Roman" w:hAnsi="Times New Roman"/>
                <w:szCs w:val="21"/>
              </w:rPr>
              <w:t>；</w:t>
            </w:r>
          </w:p>
          <w:p>
            <w:pPr>
              <w:rPr>
                <w:rFonts w:hint="eastAsia" w:ascii="Times New Roman" w:hAnsi="Times New Roman"/>
                <w:szCs w:val="21"/>
              </w:rPr>
            </w:pPr>
            <w:r>
              <w:rPr>
                <w:rFonts w:hint="eastAsia" w:ascii="Times New Roman" w:hAnsi="Times New Roman"/>
                <w:szCs w:val="21"/>
              </w:rPr>
              <w:t>10、</w:t>
            </w:r>
            <w:r>
              <w:rPr>
                <w:rFonts w:ascii="Times New Roman" w:hAnsi="Times New Roman"/>
                <w:szCs w:val="21"/>
              </w:rPr>
              <w:t>学院师生参加全省、全国职业院校技能大赛成果；</w:t>
            </w:r>
          </w:p>
          <w:p>
            <w:pPr>
              <w:rPr>
                <w:rFonts w:hint="eastAsia" w:ascii="Times New Roman" w:hAnsi="Times New Roman"/>
                <w:szCs w:val="21"/>
              </w:rPr>
            </w:pPr>
            <w:r>
              <w:rPr>
                <w:rFonts w:hint="eastAsia" w:ascii="Times New Roman" w:hAnsi="Times New Roman"/>
                <w:szCs w:val="21"/>
              </w:rPr>
              <w:t>11、</w:t>
            </w:r>
            <w:r>
              <w:rPr>
                <w:rFonts w:ascii="Times New Roman" w:hAnsi="Times New Roman"/>
                <w:szCs w:val="21"/>
              </w:rPr>
              <w:t>学院开展年度文化艺术节成果资料；</w:t>
            </w:r>
          </w:p>
          <w:p>
            <w:pPr>
              <w:rPr>
                <w:rFonts w:hint="eastAsia" w:ascii="Times New Roman" w:hAnsi="Times New Roman"/>
                <w:szCs w:val="21"/>
              </w:rPr>
            </w:pPr>
            <w:r>
              <w:rPr>
                <w:rFonts w:hint="eastAsia" w:ascii="Times New Roman" w:hAnsi="Times New Roman"/>
                <w:szCs w:val="21"/>
              </w:rPr>
              <w:t>12、</w:t>
            </w:r>
            <w:r>
              <w:rPr>
                <w:rFonts w:ascii="Times New Roman" w:hAnsi="Times New Roman"/>
                <w:szCs w:val="21"/>
              </w:rPr>
              <w:t>学生参加全省、全国体艺比赛成果资料；</w:t>
            </w:r>
          </w:p>
          <w:p>
            <w:pPr>
              <w:rPr>
                <w:rFonts w:hint="eastAsia" w:ascii="Times New Roman" w:hAnsi="Times New Roman"/>
                <w:szCs w:val="21"/>
              </w:rPr>
            </w:pPr>
            <w:r>
              <w:rPr>
                <w:rFonts w:hint="eastAsia" w:ascii="Times New Roman" w:hAnsi="Times New Roman"/>
                <w:szCs w:val="21"/>
              </w:rPr>
              <w:t>13、</w:t>
            </w:r>
            <w:r>
              <w:rPr>
                <w:rFonts w:ascii="Times New Roman" w:hAnsi="Times New Roman"/>
                <w:szCs w:val="21"/>
              </w:rPr>
              <w:t>毕业生获得中级技能及以上或行业的职业资格证书佐证资料；</w:t>
            </w:r>
          </w:p>
          <w:p>
            <w:pPr>
              <w:rPr>
                <w:rFonts w:hint="eastAsia" w:ascii="Times New Roman" w:hAnsi="Times New Roman"/>
                <w:szCs w:val="21"/>
              </w:rPr>
            </w:pPr>
            <w:r>
              <w:rPr>
                <w:rFonts w:hint="eastAsia" w:ascii="Times New Roman" w:hAnsi="Times New Roman"/>
                <w:szCs w:val="21"/>
              </w:rPr>
              <w:t>14、学院教学内容改革的相关资料；</w:t>
            </w:r>
          </w:p>
          <w:p>
            <w:pPr>
              <w:rPr>
                <w:rFonts w:hint="eastAsia" w:ascii="Times New Roman" w:hAnsi="Times New Roman"/>
                <w:szCs w:val="21"/>
              </w:rPr>
            </w:pPr>
            <w:r>
              <w:rPr>
                <w:rFonts w:hint="eastAsia" w:ascii="Times New Roman" w:hAnsi="Times New Roman"/>
                <w:szCs w:val="21"/>
              </w:rPr>
              <w:t>15、专业课教师社会服务情况及相关资料；</w:t>
            </w:r>
          </w:p>
          <w:p>
            <w:pPr>
              <w:rPr>
                <w:rFonts w:hint="eastAsia" w:ascii="Times New Roman" w:hAnsi="Times New Roman"/>
                <w:szCs w:val="21"/>
              </w:rPr>
            </w:pPr>
            <w:r>
              <w:rPr>
                <w:rFonts w:hint="eastAsia" w:ascii="Times New Roman" w:hAnsi="Times New Roman"/>
                <w:szCs w:val="21"/>
              </w:rPr>
              <w:t>16、专业教师在协会或学会任职佐证资料；</w:t>
            </w:r>
          </w:p>
          <w:p>
            <w:pPr>
              <w:rPr>
                <w:rFonts w:hint="eastAsia" w:ascii="Times New Roman" w:hAnsi="Times New Roman"/>
                <w:szCs w:val="21"/>
              </w:rPr>
            </w:pPr>
            <w:r>
              <w:rPr>
                <w:rFonts w:hint="eastAsia" w:ascii="Times New Roman" w:hAnsi="Times New Roman"/>
                <w:szCs w:val="21"/>
              </w:rPr>
              <w:t>17、分学年教师主持（或参与）在研横向技术开发课题汇总表；</w:t>
            </w:r>
          </w:p>
          <w:p>
            <w:pPr>
              <w:rPr>
                <w:rFonts w:ascii="Times New Roman" w:hAnsi="Times New Roman"/>
                <w:szCs w:val="21"/>
              </w:rPr>
            </w:pPr>
            <w:r>
              <w:rPr>
                <w:rFonts w:hint="eastAsia" w:ascii="Times New Roman" w:hAnsi="Times New Roman"/>
                <w:szCs w:val="21"/>
              </w:rPr>
              <w:t>18、分学年专任教师为行业企业技术服务汇总统计表。</w:t>
            </w:r>
          </w:p>
        </w:tc>
        <w:tc>
          <w:tcPr>
            <w:tcW w:w="1096" w:type="dxa"/>
            <w:vAlign w:val="center"/>
          </w:tcPr>
          <w:p>
            <w:pPr>
              <w:jc w:val="center"/>
              <w:rPr>
                <w:rFonts w:hAnsi="宋体"/>
                <w:szCs w:val="21"/>
              </w:rPr>
            </w:pPr>
            <w:r>
              <w:rPr>
                <w:rFonts w:hint="eastAsia" w:hAnsi="宋体"/>
                <w:szCs w:val="21"/>
              </w:rPr>
              <w:t>质控中心</w:t>
            </w:r>
          </w:p>
        </w:tc>
        <w:tc>
          <w:tcPr>
            <w:tcW w:w="1388" w:type="dxa"/>
            <w:vAlign w:val="center"/>
          </w:tcPr>
          <w:p>
            <w:pPr>
              <w:jc w:val="center"/>
              <w:rPr>
                <w:rFonts w:hint="eastAsia" w:hAnsi="宋体"/>
                <w:szCs w:val="21"/>
              </w:rPr>
            </w:pPr>
            <w:r>
              <w:rPr>
                <w:rFonts w:hint="eastAsia" w:hAnsi="宋体"/>
                <w:szCs w:val="21"/>
              </w:rPr>
              <w:t>教务处</w:t>
            </w:r>
          </w:p>
          <w:p>
            <w:pPr>
              <w:jc w:val="center"/>
              <w:rPr>
                <w:rFonts w:hint="eastAsia" w:hAnsi="宋体"/>
                <w:szCs w:val="21"/>
              </w:rPr>
            </w:pPr>
            <w:r>
              <w:rPr>
                <w:rFonts w:hint="eastAsia" w:hAnsi="宋体"/>
                <w:szCs w:val="21"/>
              </w:rPr>
              <w:t>招就处</w:t>
            </w:r>
          </w:p>
          <w:p>
            <w:pPr>
              <w:jc w:val="center"/>
              <w:rPr>
                <w:rFonts w:hint="eastAsia" w:hAnsi="宋体"/>
                <w:szCs w:val="21"/>
              </w:rPr>
            </w:pPr>
            <w:r>
              <w:rPr>
                <w:rFonts w:hint="eastAsia" w:hAnsi="宋体"/>
                <w:szCs w:val="21"/>
              </w:rPr>
              <w:t>学工处</w:t>
            </w:r>
          </w:p>
          <w:p>
            <w:pPr>
              <w:jc w:val="center"/>
              <w:rPr>
                <w:rFonts w:hint="eastAsia" w:hAnsi="宋体"/>
                <w:szCs w:val="21"/>
              </w:rPr>
            </w:pPr>
            <w:r>
              <w:rPr>
                <w:rFonts w:hint="eastAsia" w:hAnsi="宋体"/>
                <w:szCs w:val="21"/>
              </w:rPr>
              <w:t>党工部</w:t>
            </w:r>
          </w:p>
          <w:p>
            <w:pPr>
              <w:jc w:val="center"/>
              <w:rPr>
                <w:rFonts w:hint="eastAsia" w:hAnsi="宋体"/>
                <w:szCs w:val="21"/>
              </w:rPr>
            </w:pPr>
            <w:r>
              <w:rPr>
                <w:rFonts w:hint="eastAsia" w:hAnsi="宋体"/>
                <w:szCs w:val="21"/>
              </w:rPr>
              <w:t>团  委</w:t>
            </w:r>
          </w:p>
          <w:p>
            <w:pPr>
              <w:jc w:val="center"/>
              <w:rPr>
                <w:rFonts w:hint="eastAsia" w:hAnsi="宋体"/>
                <w:szCs w:val="21"/>
              </w:rPr>
            </w:pPr>
            <w:r>
              <w:rPr>
                <w:rFonts w:hint="eastAsia" w:hAnsi="宋体"/>
                <w:szCs w:val="21"/>
              </w:rPr>
              <w:t>成教部</w:t>
            </w:r>
          </w:p>
          <w:p>
            <w:pPr>
              <w:jc w:val="center"/>
              <w:rPr>
                <w:rFonts w:hAnsi="宋体"/>
                <w:szCs w:val="21"/>
              </w:rPr>
            </w:pPr>
            <w:r>
              <w:rPr>
                <w:rFonts w:hint="eastAsia" w:hAnsi="宋体"/>
                <w:szCs w:val="21"/>
              </w:rPr>
              <w:t>科研所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2" w:hRule="atLeast"/>
          <w:jc w:val="center"/>
        </w:trPr>
        <w:tc>
          <w:tcPr>
            <w:tcW w:w="1004" w:type="dxa"/>
            <w:vMerge w:val="continue"/>
            <w:shd w:val="clear" w:color="auto" w:fill="auto"/>
            <w:vAlign w:val="center"/>
          </w:tcPr>
          <w:p>
            <w:pPr>
              <w:jc w:val="center"/>
              <w:rPr>
                <w:rFonts w:ascii="Times New Roman" w:hAnsi="Times New Roman"/>
                <w:szCs w:val="21"/>
              </w:rPr>
            </w:pPr>
          </w:p>
        </w:tc>
        <w:tc>
          <w:tcPr>
            <w:tcW w:w="724" w:type="dxa"/>
            <w:vMerge w:val="restart"/>
            <w:shd w:val="clear" w:color="auto" w:fill="auto"/>
            <w:vAlign w:val="center"/>
          </w:tcPr>
          <w:p>
            <w:pPr>
              <w:jc w:val="center"/>
              <w:rPr>
                <w:rFonts w:ascii="Times New Roman" w:hAnsi="Times New Roman"/>
                <w:szCs w:val="21"/>
              </w:rPr>
            </w:pPr>
            <w:r>
              <w:rPr>
                <w:rFonts w:ascii="Times New Roman" w:hAnsi="Times New Roman"/>
                <w:szCs w:val="21"/>
              </w:rPr>
              <w:t>1.2</w:t>
            </w:r>
            <w:r>
              <w:rPr>
                <w:rFonts w:ascii="Times New Roman" w:hAnsi="宋体"/>
                <w:szCs w:val="21"/>
              </w:rPr>
              <w:t>组织构架</w:t>
            </w:r>
          </w:p>
        </w:tc>
        <w:tc>
          <w:tcPr>
            <w:tcW w:w="897" w:type="dxa"/>
            <w:shd w:val="clear" w:color="auto" w:fill="auto"/>
            <w:vAlign w:val="center"/>
          </w:tcPr>
          <w:p>
            <w:pPr>
              <w:jc w:val="center"/>
              <w:rPr>
                <w:rFonts w:ascii="Times New Roman" w:hAnsi="Times New Roman"/>
                <w:szCs w:val="21"/>
              </w:rPr>
            </w:pPr>
            <w:r>
              <w:rPr>
                <w:rFonts w:ascii="Times New Roman" w:hAnsi="宋体"/>
                <w:szCs w:val="21"/>
              </w:rPr>
              <w:t>质量保证机构与分工</w:t>
            </w:r>
          </w:p>
        </w:tc>
        <w:tc>
          <w:tcPr>
            <w:tcW w:w="4650" w:type="dxa"/>
            <w:shd w:val="clear" w:color="auto" w:fill="auto"/>
            <w:vAlign w:val="center"/>
          </w:tcPr>
          <w:p>
            <w:pPr>
              <w:rPr>
                <w:rFonts w:ascii="Times New Roman" w:hAnsi="Times New Roman"/>
                <w:szCs w:val="21"/>
              </w:rPr>
            </w:pPr>
            <w:r>
              <w:rPr>
                <w:rFonts w:ascii="Times New Roman" w:hAnsi="Times New Roman"/>
                <w:szCs w:val="21"/>
              </w:rPr>
              <w:fldChar w:fldCharType="begin"/>
            </w:r>
            <w:r>
              <w:rPr>
                <w:rFonts w:ascii="Times New Roman" w:hAnsi="Times New Roman"/>
                <w:szCs w:val="21"/>
              </w:rPr>
              <w:instrText xml:space="preserve"> = 1 \* GB3 </w:instrText>
            </w:r>
            <w:r>
              <w:rPr>
                <w:rFonts w:ascii="Times New Roman" w:hAnsi="Times New Roman"/>
                <w:szCs w:val="21"/>
              </w:rPr>
              <w:fldChar w:fldCharType="separate"/>
            </w:r>
            <w:r>
              <w:rPr>
                <w:rFonts w:ascii="宋体" w:hAnsi="宋体"/>
                <w:szCs w:val="21"/>
              </w:rPr>
              <w:t>①</w:t>
            </w:r>
            <w:r>
              <w:rPr>
                <w:rFonts w:ascii="Times New Roman" w:hAnsi="Times New Roman"/>
                <w:szCs w:val="21"/>
              </w:rPr>
              <w:fldChar w:fldCharType="end"/>
            </w:r>
            <w:r>
              <w:rPr>
                <w:rFonts w:ascii="Times New Roman" w:hAnsi="宋体"/>
                <w:szCs w:val="21"/>
              </w:rPr>
              <w:t>学校及院系各层面质量保证机构健全、管理体系完善、岗位设置科学合理，分工与职责权限明确。</w:t>
            </w:r>
          </w:p>
        </w:tc>
        <w:tc>
          <w:tcPr>
            <w:tcW w:w="5103" w:type="dxa"/>
            <w:vAlign w:val="center"/>
          </w:tcPr>
          <w:p>
            <w:pPr>
              <w:rPr>
                <w:rFonts w:hint="eastAsia"/>
                <w:szCs w:val="21"/>
              </w:rPr>
            </w:pPr>
            <w:r>
              <w:rPr>
                <w:rFonts w:hint="eastAsia"/>
                <w:szCs w:val="21"/>
              </w:rPr>
              <w:t>1、</w:t>
            </w:r>
            <w:r>
              <w:rPr>
                <w:rFonts w:hint="eastAsia" w:hAnsi="宋体"/>
                <w:szCs w:val="21"/>
              </w:rPr>
              <w:t>学院各项</w:t>
            </w:r>
            <w:r>
              <w:rPr>
                <w:rFonts w:hint="eastAsia"/>
                <w:szCs w:val="21"/>
              </w:rPr>
              <w:t>规章制度汇编及组织架构；</w:t>
            </w:r>
          </w:p>
          <w:p>
            <w:pPr>
              <w:rPr>
                <w:rFonts w:hint="eastAsia"/>
                <w:szCs w:val="21"/>
              </w:rPr>
            </w:pPr>
            <w:r>
              <w:rPr>
                <w:rFonts w:hint="eastAsia"/>
                <w:szCs w:val="21"/>
              </w:rPr>
              <w:t>2、学院机构岗位设置及人员一览表；</w:t>
            </w:r>
          </w:p>
          <w:p>
            <w:pPr>
              <w:rPr>
                <w:rFonts w:hint="eastAsia"/>
                <w:szCs w:val="21"/>
              </w:rPr>
            </w:pPr>
            <w:r>
              <w:rPr>
                <w:rFonts w:hint="eastAsia"/>
                <w:szCs w:val="21"/>
              </w:rPr>
              <w:t>3、学院成立各类管理委员会的章程、组成、权责和运行规则。</w:t>
            </w:r>
          </w:p>
        </w:tc>
        <w:tc>
          <w:tcPr>
            <w:tcW w:w="1096" w:type="dxa"/>
            <w:vAlign w:val="center"/>
          </w:tcPr>
          <w:p>
            <w:pPr>
              <w:jc w:val="center"/>
              <w:rPr>
                <w:rFonts w:hAnsi="宋体"/>
                <w:szCs w:val="21"/>
              </w:rPr>
            </w:pPr>
            <w:r>
              <w:rPr>
                <w:rFonts w:hAnsi="宋体"/>
                <w:szCs w:val="21"/>
              </w:rPr>
              <w:t>办公室</w:t>
            </w:r>
          </w:p>
        </w:tc>
        <w:tc>
          <w:tcPr>
            <w:tcW w:w="1388" w:type="dxa"/>
            <w:vAlign w:val="center"/>
          </w:tcPr>
          <w:p>
            <w:pPr>
              <w:jc w:val="center"/>
              <w:rPr>
                <w:rFonts w:hint="eastAsia" w:hAnsi="宋体"/>
                <w:szCs w:val="21"/>
              </w:rPr>
            </w:pPr>
            <w:r>
              <w:rPr>
                <w:rFonts w:hAnsi="宋体"/>
                <w:szCs w:val="21"/>
              </w:rPr>
              <w:t>办公室</w:t>
            </w:r>
          </w:p>
          <w:p>
            <w:pPr>
              <w:jc w:val="center"/>
              <w:rPr>
                <w:rFonts w:hint="eastAsia" w:hAnsi="宋体"/>
                <w:szCs w:val="21"/>
              </w:rPr>
            </w:pPr>
            <w:r>
              <w:rPr>
                <w:rFonts w:hint="eastAsia" w:hAnsi="宋体"/>
                <w:szCs w:val="21"/>
              </w:rPr>
              <w:t>各部门</w:t>
            </w:r>
          </w:p>
          <w:p>
            <w:pPr>
              <w:jc w:val="center"/>
              <w:rPr>
                <w:rFonts w:hAnsi="宋体"/>
                <w:szCs w:val="21"/>
              </w:rPr>
            </w:pPr>
            <w:r>
              <w:rPr>
                <w:rFonts w:hint="eastAsia" w:hAnsi="宋体"/>
                <w:szCs w:val="21"/>
              </w:rPr>
              <w:t>各院系（部）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jc w:val="center"/>
        </w:trPr>
        <w:tc>
          <w:tcPr>
            <w:tcW w:w="1004" w:type="dxa"/>
            <w:vMerge w:val="continue"/>
            <w:shd w:val="clear" w:color="auto" w:fill="auto"/>
            <w:vAlign w:val="center"/>
          </w:tcPr>
          <w:p>
            <w:pPr>
              <w:jc w:val="center"/>
              <w:rPr>
                <w:rFonts w:ascii="Times New Roman" w:hAnsi="Times New Roman"/>
                <w:szCs w:val="21"/>
              </w:rPr>
            </w:pPr>
          </w:p>
        </w:tc>
        <w:tc>
          <w:tcPr>
            <w:tcW w:w="724" w:type="dxa"/>
            <w:vMerge w:val="continue"/>
            <w:shd w:val="clear" w:color="auto" w:fill="auto"/>
            <w:vAlign w:val="center"/>
          </w:tcPr>
          <w:p>
            <w:pPr>
              <w:jc w:val="center"/>
              <w:rPr>
                <w:rFonts w:ascii="Times New Roman" w:hAnsi="Times New Roman"/>
                <w:szCs w:val="21"/>
              </w:rPr>
            </w:pPr>
          </w:p>
        </w:tc>
        <w:tc>
          <w:tcPr>
            <w:tcW w:w="897" w:type="dxa"/>
            <w:shd w:val="clear" w:color="auto" w:fill="auto"/>
            <w:vAlign w:val="center"/>
          </w:tcPr>
          <w:p>
            <w:pPr>
              <w:jc w:val="center"/>
              <w:rPr>
                <w:rFonts w:ascii="Times New Roman" w:hAnsi="Times New Roman"/>
                <w:szCs w:val="21"/>
              </w:rPr>
            </w:pPr>
            <w:r>
              <w:rPr>
                <w:rFonts w:ascii="Times New Roman" w:hAnsi="宋体"/>
                <w:szCs w:val="21"/>
              </w:rPr>
              <w:t>质量保证队伍</w:t>
            </w:r>
          </w:p>
        </w:tc>
        <w:tc>
          <w:tcPr>
            <w:tcW w:w="4650" w:type="dxa"/>
            <w:shd w:val="clear" w:color="auto" w:fill="auto"/>
            <w:vAlign w:val="center"/>
          </w:tcPr>
          <w:p>
            <w:pPr>
              <w:rPr>
                <w:rFonts w:ascii="Times New Roman" w:hAnsi="Times New Roman"/>
                <w:szCs w:val="21"/>
              </w:rPr>
            </w:pPr>
            <w:r>
              <w:rPr>
                <w:rFonts w:ascii="Times New Roman" w:hAnsi="Times New Roman"/>
                <w:szCs w:val="21"/>
              </w:rPr>
              <w:fldChar w:fldCharType="begin"/>
            </w:r>
            <w:r>
              <w:rPr>
                <w:rFonts w:ascii="Times New Roman" w:hAnsi="Times New Roman"/>
                <w:szCs w:val="21"/>
              </w:rPr>
              <w:instrText xml:space="preserve"> = 1 \* GB3 </w:instrText>
            </w:r>
            <w:r>
              <w:rPr>
                <w:rFonts w:ascii="Times New Roman" w:hAnsi="Times New Roman"/>
                <w:szCs w:val="21"/>
              </w:rPr>
              <w:fldChar w:fldCharType="separate"/>
            </w:r>
            <w:r>
              <w:rPr>
                <w:rFonts w:ascii="宋体" w:hAnsi="宋体"/>
                <w:szCs w:val="21"/>
              </w:rPr>
              <w:t>①</w:t>
            </w:r>
            <w:r>
              <w:rPr>
                <w:rFonts w:ascii="Times New Roman" w:hAnsi="Times New Roman"/>
                <w:szCs w:val="21"/>
              </w:rPr>
              <w:fldChar w:fldCharType="end"/>
            </w:r>
            <w:r>
              <w:rPr>
                <w:rFonts w:ascii="Times New Roman" w:hAnsi="宋体"/>
                <w:szCs w:val="21"/>
              </w:rPr>
              <w:t>加强平台数据采集和管理队伍、校本诊断专家队伍、教学管理队伍等</w:t>
            </w:r>
            <w:r>
              <w:rPr>
                <w:rFonts w:ascii="Times New Roman" w:hAnsi="Times New Roman"/>
                <w:szCs w:val="21"/>
              </w:rPr>
              <w:t>3</w:t>
            </w:r>
            <w:r>
              <w:rPr>
                <w:rFonts w:ascii="Times New Roman" w:hAnsi="宋体"/>
                <w:szCs w:val="21"/>
              </w:rPr>
              <w:t>支队伍建设，根据岗位职责要求高质量配备相关人员；</w:t>
            </w:r>
          </w:p>
          <w:p>
            <w:pPr>
              <w:rPr>
                <w:rFonts w:ascii="Times New Roman" w:hAnsi="Times New Roman"/>
                <w:szCs w:val="21"/>
              </w:rPr>
            </w:pPr>
            <w:r>
              <w:rPr>
                <w:rFonts w:ascii="Times New Roman" w:hAnsi="Times New Roman"/>
                <w:szCs w:val="21"/>
              </w:rPr>
              <w:fldChar w:fldCharType="begin"/>
            </w:r>
            <w:r>
              <w:rPr>
                <w:rFonts w:ascii="Times New Roman" w:hAnsi="Times New Roman"/>
                <w:szCs w:val="21"/>
              </w:rPr>
              <w:instrText xml:space="preserve"> = 2 \* GB3 </w:instrText>
            </w:r>
            <w:r>
              <w:rPr>
                <w:rFonts w:ascii="Times New Roman" w:hAnsi="Times New Roman"/>
                <w:szCs w:val="21"/>
              </w:rPr>
              <w:fldChar w:fldCharType="separate"/>
            </w:r>
            <w:r>
              <w:rPr>
                <w:rFonts w:ascii="宋体" w:hAnsi="宋体"/>
                <w:szCs w:val="21"/>
              </w:rPr>
              <w:t>②</w:t>
            </w:r>
            <w:r>
              <w:rPr>
                <w:rFonts w:ascii="Times New Roman" w:hAnsi="Times New Roman"/>
                <w:szCs w:val="21"/>
              </w:rPr>
              <w:fldChar w:fldCharType="end"/>
            </w:r>
            <w:r>
              <w:rPr>
                <w:rFonts w:ascii="Times New Roman" w:hAnsi="宋体"/>
                <w:szCs w:val="21"/>
              </w:rPr>
              <w:t>建立健全对质量保证机构、人员科学合理的考核标准与考核制度；</w:t>
            </w:r>
          </w:p>
          <w:p>
            <w:pPr>
              <w:rPr>
                <w:rFonts w:ascii="Times New Roman" w:hAnsi="Times New Roman"/>
                <w:szCs w:val="21"/>
              </w:rPr>
            </w:pPr>
            <w:r>
              <w:rPr>
                <w:rFonts w:ascii="Times New Roman" w:hAnsi="Times New Roman"/>
                <w:szCs w:val="21"/>
              </w:rPr>
              <w:fldChar w:fldCharType="begin"/>
            </w:r>
            <w:r>
              <w:rPr>
                <w:rFonts w:ascii="Times New Roman" w:hAnsi="Times New Roman"/>
                <w:szCs w:val="21"/>
              </w:rPr>
              <w:instrText xml:space="preserve"> = 3 \* GB3 </w:instrText>
            </w:r>
            <w:r>
              <w:rPr>
                <w:rFonts w:ascii="Times New Roman" w:hAnsi="Times New Roman"/>
                <w:szCs w:val="21"/>
              </w:rPr>
              <w:fldChar w:fldCharType="separate"/>
            </w:r>
            <w:r>
              <w:rPr>
                <w:rFonts w:ascii="宋体" w:hAnsi="宋体"/>
                <w:szCs w:val="21"/>
              </w:rPr>
              <w:t>③</w:t>
            </w:r>
            <w:r>
              <w:rPr>
                <w:rFonts w:ascii="Times New Roman" w:hAnsi="Times New Roman"/>
                <w:szCs w:val="21"/>
              </w:rPr>
              <w:fldChar w:fldCharType="end"/>
            </w:r>
            <w:r>
              <w:rPr>
                <w:rFonts w:ascii="Times New Roman" w:hAnsi="宋体"/>
                <w:szCs w:val="21"/>
              </w:rPr>
              <w:t>严格执行考核制度，责任落实到位，持续改进成效明显。</w:t>
            </w:r>
          </w:p>
        </w:tc>
        <w:tc>
          <w:tcPr>
            <w:tcW w:w="5103" w:type="dxa"/>
            <w:vAlign w:val="center"/>
          </w:tcPr>
          <w:p>
            <w:pPr>
              <w:rPr>
                <w:rFonts w:hint="eastAsia"/>
                <w:szCs w:val="21"/>
              </w:rPr>
            </w:pPr>
            <w:r>
              <w:rPr>
                <w:rFonts w:hint="eastAsia" w:ascii="Times New Roman" w:hAnsi="Times New Roman"/>
                <w:szCs w:val="21"/>
              </w:rPr>
              <w:t>1</w:t>
            </w:r>
            <w:r>
              <w:rPr>
                <w:rFonts w:hint="eastAsia"/>
                <w:szCs w:val="21"/>
              </w:rPr>
              <w:t>、</w:t>
            </w:r>
            <w:r>
              <w:rPr>
                <w:szCs w:val="21"/>
              </w:rPr>
              <w:t>平台数据采集和管理队伍</w:t>
            </w:r>
            <w:r>
              <w:rPr>
                <w:rFonts w:hint="eastAsia"/>
                <w:szCs w:val="21"/>
              </w:rPr>
              <w:t>人员一览表；</w:t>
            </w:r>
          </w:p>
          <w:p>
            <w:pPr>
              <w:rPr>
                <w:rFonts w:hint="eastAsia"/>
                <w:szCs w:val="21"/>
              </w:rPr>
            </w:pPr>
            <w:r>
              <w:rPr>
                <w:rFonts w:hint="eastAsia"/>
                <w:szCs w:val="21"/>
              </w:rPr>
              <w:t>2、</w:t>
            </w:r>
            <w:r>
              <w:rPr>
                <w:szCs w:val="21"/>
              </w:rPr>
              <w:t>校本诊断专家队伍</w:t>
            </w:r>
            <w:r>
              <w:rPr>
                <w:rFonts w:hint="eastAsia"/>
                <w:szCs w:val="21"/>
              </w:rPr>
              <w:t>人员一览表；</w:t>
            </w:r>
          </w:p>
          <w:p>
            <w:pPr>
              <w:rPr>
                <w:rFonts w:hint="eastAsia"/>
                <w:szCs w:val="21"/>
              </w:rPr>
            </w:pPr>
            <w:r>
              <w:rPr>
                <w:rFonts w:hint="eastAsia"/>
                <w:szCs w:val="21"/>
              </w:rPr>
              <w:t>3、学院</w:t>
            </w:r>
            <w:r>
              <w:rPr>
                <w:szCs w:val="21"/>
              </w:rPr>
              <w:t>教学管理队伍</w:t>
            </w:r>
            <w:r>
              <w:rPr>
                <w:rFonts w:hint="eastAsia"/>
                <w:szCs w:val="21"/>
              </w:rPr>
              <w:t>人员一览表；</w:t>
            </w:r>
          </w:p>
          <w:p>
            <w:pPr>
              <w:rPr>
                <w:rFonts w:hint="eastAsia"/>
                <w:szCs w:val="21"/>
              </w:rPr>
            </w:pPr>
            <w:r>
              <w:rPr>
                <w:rFonts w:hint="eastAsia"/>
                <w:szCs w:val="21"/>
              </w:rPr>
              <w:t>4、学院二级量化相关考核资料；</w:t>
            </w:r>
          </w:p>
          <w:p>
            <w:pPr>
              <w:rPr>
                <w:rFonts w:hint="eastAsia"/>
                <w:szCs w:val="21"/>
              </w:rPr>
            </w:pPr>
            <w:r>
              <w:rPr>
                <w:rFonts w:hint="eastAsia"/>
                <w:szCs w:val="21"/>
              </w:rPr>
              <w:t>5、学院四级教学责任制考核材料；</w:t>
            </w:r>
          </w:p>
          <w:p>
            <w:pPr>
              <w:rPr>
                <w:rFonts w:hint="eastAsia"/>
                <w:szCs w:val="21"/>
              </w:rPr>
            </w:pPr>
            <w:r>
              <w:rPr>
                <w:rFonts w:hint="eastAsia"/>
                <w:szCs w:val="21"/>
              </w:rPr>
              <w:t>6、学院技术职务岗位设置及聘任管理办法；</w:t>
            </w:r>
          </w:p>
          <w:p>
            <w:pPr>
              <w:rPr>
                <w:rFonts w:ascii="Times New Roman" w:hAnsi="宋体"/>
                <w:szCs w:val="21"/>
              </w:rPr>
            </w:pPr>
            <w:r>
              <w:rPr>
                <w:rFonts w:hint="eastAsia"/>
                <w:szCs w:val="21"/>
              </w:rPr>
              <w:t>7、学院绩效量化考评实施方案以及相关考核材料。</w:t>
            </w:r>
          </w:p>
        </w:tc>
        <w:tc>
          <w:tcPr>
            <w:tcW w:w="1096" w:type="dxa"/>
            <w:vAlign w:val="center"/>
          </w:tcPr>
          <w:p>
            <w:pPr>
              <w:jc w:val="center"/>
              <w:rPr>
                <w:rFonts w:hAnsi="宋体"/>
                <w:szCs w:val="21"/>
              </w:rPr>
            </w:pPr>
            <w:r>
              <w:rPr>
                <w:rFonts w:hint="eastAsia" w:hAnsi="宋体"/>
                <w:szCs w:val="21"/>
              </w:rPr>
              <w:t>质控中心</w:t>
            </w:r>
          </w:p>
        </w:tc>
        <w:tc>
          <w:tcPr>
            <w:tcW w:w="1388" w:type="dxa"/>
            <w:vAlign w:val="center"/>
          </w:tcPr>
          <w:p>
            <w:pPr>
              <w:jc w:val="center"/>
              <w:rPr>
                <w:rFonts w:hint="eastAsia" w:hAnsi="宋体"/>
                <w:szCs w:val="21"/>
              </w:rPr>
            </w:pPr>
            <w:r>
              <w:rPr>
                <w:rFonts w:hint="eastAsia" w:hAnsi="宋体"/>
                <w:szCs w:val="21"/>
              </w:rPr>
              <w:t>教务处</w:t>
            </w:r>
          </w:p>
          <w:p>
            <w:pPr>
              <w:jc w:val="center"/>
              <w:rPr>
                <w:rFonts w:hint="eastAsia" w:hAnsi="宋体"/>
                <w:szCs w:val="21"/>
              </w:rPr>
            </w:pPr>
            <w:r>
              <w:rPr>
                <w:rFonts w:hint="eastAsia" w:hAnsi="宋体"/>
                <w:szCs w:val="21"/>
              </w:rPr>
              <w:t>党工部</w:t>
            </w:r>
          </w:p>
          <w:p>
            <w:pPr>
              <w:jc w:val="center"/>
              <w:rPr>
                <w:rFonts w:hint="eastAsia" w:hAnsi="宋体"/>
                <w:szCs w:val="21"/>
              </w:rPr>
            </w:pPr>
            <w:r>
              <w:rPr>
                <w:rFonts w:hint="eastAsia" w:hAnsi="宋体"/>
                <w:szCs w:val="21"/>
              </w:rPr>
              <w:t>人事处</w:t>
            </w:r>
          </w:p>
          <w:p>
            <w:pPr>
              <w:jc w:val="center"/>
              <w:rPr>
                <w:rFonts w:hint="eastAsia" w:hAnsi="宋体"/>
                <w:szCs w:val="21"/>
              </w:rPr>
            </w:pPr>
            <w:r>
              <w:rPr>
                <w:rFonts w:hint="eastAsia" w:hAnsi="宋体"/>
                <w:szCs w:val="21"/>
              </w:rPr>
              <w:t>各部门</w:t>
            </w:r>
          </w:p>
          <w:p>
            <w:pPr>
              <w:jc w:val="center"/>
              <w:rPr>
                <w:rFonts w:hAnsi="宋体"/>
                <w:szCs w:val="21"/>
              </w:rPr>
            </w:pPr>
            <w:r>
              <w:rPr>
                <w:rFonts w:hint="eastAsia" w:hAnsi="宋体"/>
                <w:szCs w:val="21"/>
              </w:rPr>
              <w:t>各院系（部）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7" w:hRule="atLeast"/>
          <w:jc w:val="center"/>
        </w:trPr>
        <w:tc>
          <w:tcPr>
            <w:tcW w:w="1004" w:type="dxa"/>
            <w:vMerge w:val="continue"/>
            <w:shd w:val="clear" w:color="auto" w:fill="auto"/>
            <w:vAlign w:val="center"/>
          </w:tcPr>
          <w:p>
            <w:pPr>
              <w:jc w:val="center"/>
              <w:rPr>
                <w:rFonts w:ascii="Times New Roman" w:hAnsi="Times New Roman"/>
                <w:szCs w:val="21"/>
              </w:rPr>
            </w:pPr>
          </w:p>
        </w:tc>
        <w:tc>
          <w:tcPr>
            <w:tcW w:w="724" w:type="dxa"/>
            <w:vMerge w:val="restart"/>
            <w:shd w:val="clear" w:color="auto" w:fill="auto"/>
            <w:vAlign w:val="center"/>
          </w:tcPr>
          <w:p>
            <w:pPr>
              <w:jc w:val="center"/>
              <w:rPr>
                <w:rFonts w:ascii="Times New Roman" w:hAnsi="Times New Roman"/>
                <w:szCs w:val="21"/>
              </w:rPr>
            </w:pPr>
            <w:r>
              <w:rPr>
                <w:rFonts w:ascii="Times New Roman" w:hAnsi="Times New Roman"/>
                <w:szCs w:val="21"/>
              </w:rPr>
              <w:t>1.3</w:t>
            </w:r>
            <w:r>
              <w:rPr>
                <w:rFonts w:ascii="Times New Roman" w:hAnsi="宋体"/>
                <w:szCs w:val="21"/>
              </w:rPr>
              <w:t>制度构架</w:t>
            </w:r>
          </w:p>
        </w:tc>
        <w:tc>
          <w:tcPr>
            <w:tcW w:w="897" w:type="dxa"/>
            <w:shd w:val="clear" w:color="auto" w:fill="auto"/>
            <w:vAlign w:val="center"/>
          </w:tcPr>
          <w:p>
            <w:pPr>
              <w:jc w:val="center"/>
              <w:rPr>
                <w:rFonts w:ascii="Times New Roman" w:hAnsi="Times New Roman"/>
                <w:szCs w:val="21"/>
              </w:rPr>
            </w:pPr>
            <w:r>
              <w:rPr>
                <w:rFonts w:ascii="Times New Roman" w:hAnsi="宋体"/>
                <w:szCs w:val="21"/>
              </w:rPr>
              <w:t>质量保证制度</w:t>
            </w:r>
          </w:p>
        </w:tc>
        <w:tc>
          <w:tcPr>
            <w:tcW w:w="4650" w:type="dxa"/>
            <w:shd w:val="clear" w:color="auto" w:fill="auto"/>
            <w:vAlign w:val="center"/>
          </w:tcPr>
          <w:p>
            <w:pPr>
              <w:rPr>
                <w:rFonts w:ascii="Times New Roman" w:hAnsi="Times New Roman"/>
                <w:szCs w:val="21"/>
              </w:rPr>
            </w:pPr>
            <w:r>
              <w:rPr>
                <w:rFonts w:ascii="Times New Roman" w:hAnsi="Times New Roman"/>
                <w:szCs w:val="21"/>
              </w:rPr>
              <w:fldChar w:fldCharType="begin"/>
            </w:r>
            <w:r>
              <w:rPr>
                <w:rFonts w:ascii="Times New Roman" w:hAnsi="Times New Roman"/>
                <w:szCs w:val="21"/>
              </w:rPr>
              <w:instrText xml:space="preserve"> = 1 \* GB3 </w:instrText>
            </w:r>
            <w:r>
              <w:rPr>
                <w:rFonts w:ascii="Times New Roman" w:hAnsi="Times New Roman"/>
                <w:szCs w:val="21"/>
              </w:rPr>
              <w:fldChar w:fldCharType="separate"/>
            </w:r>
            <w:r>
              <w:rPr>
                <w:rFonts w:ascii="宋体" w:hAnsi="宋体"/>
                <w:szCs w:val="21"/>
              </w:rPr>
              <w:t>①</w:t>
            </w:r>
            <w:r>
              <w:rPr>
                <w:rFonts w:ascii="Times New Roman" w:hAnsi="Times New Roman"/>
                <w:szCs w:val="21"/>
              </w:rPr>
              <w:fldChar w:fldCharType="end"/>
            </w:r>
            <w:r>
              <w:rPr>
                <w:rFonts w:ascii="Times New Roman" w:hAnsi="宋体"/>
                <w:szCs w:val="21"/>
              </w:rPr>
              <w:t>学校、院系、专业、课程、教师、学生层面均有质量保证制度，且系统性、完整性、可操作性强。</w:t>
            </w:r>
          </w:p>
        </w:tc>
        <w:tc>
          <w:tcPr>
            <w:tcW w:w="5103" w:type="dxa"/>
            <w:vAlign w:val="center"/>
          </w:tcPr>
          <w:p>
            <w:pPr>
              <w:rPr>
                <w:rFonts w:hint="eastAsia"/>
                <w:szCs w:val="21"/>
              </w:rPr>
            </w:pPr>
            <w:r>
              <w:rPr>
                <w:rFonts w:hint="eastAsia" w:hAnsi="宋体"/>
                <w:szCs w:val="21"/>
              </w:rPr>
              <w:t>1、学院各部门各项</w:t>
            </w:r>
            <w:r>
              <w:rPr>
                <w:rFonts w:hint="eastAsia"/>
                <w:szCs w:val="21"/>
              </w:rPr>
              <w:t>规章制度汇编；</w:t>
            </w:r>
          </w:p>
          <w:p>
            <w:pPr>
              <w:rPr>
                <w:rFonts w:ascii="Times New Roman" w:hAnsi="Times New Roman"/>
                <w:szCs w:val="21"/>
              </w:rPr>
            </w:pPr>
            <w:r>
              <w:rPr>
                <w:rFonts w:hint="eastAsia" w:ascii="Times New Roman" w:hAnsi="Times New Roman"/>
                <w:szCs w:val="21"/>
              </w:rPr>
              <w:t>2、学院质量保证体系流程图。</w:t>
            </w:r>
          </w:p>
        </w:tc>
        <w:tc>
          <w:tcPr>
            <w:tcW w:w="1096" w:type="dxa"/>
            <w:vAlign w:val="center"/>
          </w:tcPr>
          <w:p>
            <w:pPr>
              <w:jc w:val="center"/>
              <w:rPr>
                <w:rFonts w:hAnsi="宋体"/>
                <w:szCs w:val="21"/>
              </w:rPr>
            </w:pPr>
            <w:r>
              <w:rPr>
                <w:rFonts w:hAnsi="宋体"/>
                <w:szCs w:val="21"/>
              </w:rPr>
              <w:t>办公室</w:t>
            </w:r>
          </w:p>
        </w:tc>
        <w:tc>
          <w:tcPr>
            <w:tcW w:w="1388" w:type="dxa"/>
            <w:vAlign w:val="center"/>
          </w:tcPr>
          <w:p>
            <w:pPr>
              <w:jc w:val="center"/>
              <w:rPr>
                <w:rFonts w:hint="eastAsia" w:hAnsi="宋体"/>
                <w:szCs w:val="21"/>
              </w:rPr>
            </w:pPr>
            <w:r>
              <w:rPr>
                <w:rFonts w:hint="eastAsia" w:hAnsi="宋体"/>
                <w:szCs w:val="21"/>
              </w:rPr>
              <w:t>办公室</w:t>
            </w:r>
          </w:p>
          <w:p>
            <w:pPr>
              <w:jc w:val="center"/>
              <w:rPr>
                <w:rFonts w:hAnsi="宋体"/>
                <w:szCs w:val="21"/>
              </w:rPr>
            </w:pPr>
            <w:r>
              <w:rPr>
                <w:rFonts w:hint="eastAsia" w:hAnsi="宋体"/>
                <w:szCs w:val="21"/>
              </w:rPr>
              <w:t>各部门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34" w:hRule="atLeast"/>
          <w:jc w:val="center"/>
        </w:trPr>
        <w:tc>
          <w:tcPr>
            <w:tcW w:w="1004" w:type="dxa"/>
            <w:vMerge w:val="continue"/>
            <w:shd w:val="clear" w:color="auto" w:fill="auto"/>
            <w:vAlign w:val="center"/>
          </w:tcPr>
          <w:p>
            <w:pPr>
              <w:jc w:val="center"/>
              <w:rPr>
                <w:rFonts w:ascii="Times New Roman" w:hAnsi="Times New Roman"/>
                <w:szCs w:val="21"/>
              </w:rPr>
            </w:pPr>
          </w:p>
        </w:tc>
        <w:tc>
          <w:tcPr>
            <w:tcW w:w="724" w:type="dxa"/>
            <w:vMerge w:val="continue"/>
            <w:shd w:val="clear" w:color="auto" w:fill="auto"/>
            <w:vAlign w:val="center"/>
          </w:tcPr>
          <w:p>
            <w:pPr>
              <w:jc w:val="center"/>
              <w:rPr>
                <w:rFonts w:ascii="Times New Roman" w:hAnsi="Times New Roman"/>
                <w:szCs w:val="21"/>
              </w:rPr>
            </w:pPr>
          </w:p>
        </w:tc>
        <w:tc>
          <w:tcPr>
            <w:tcW w:w="897" w:type="dxa"/>
            <w:shd w:val="clear" w:color="auto" w:fill="auto"/>
            <w:vAlign w:val="center"/>
          </w:tcPr>
          <w:p>
            <w:pPr>
              <w:jc w:val="center"/>
              <w:rPr>
                <w:rFonts w:ascii="Times New Roman" w:hAnsi="Times New Roman"/>
                <w:szCs w:val="21"/>
              </w:rPr>
            </w:pPr>
            <w:r>
              <w:rPr>
                <w:rFonts w:ascii="Times New Roman" w:hAnsi="宋体"/>
                <w:szCs w:val="21"/>
              </w:rPr>
              <w:t>执行与改进</w:t>
            </w:r>
          </w:p>
        </w:tc>
        <w:tc>
          <w:tcPr>
            <w:tcW w:w="4650" w:type="dxa"/>
            <w:shd w:val="clear" w:color="auto" w:fill="auto"/>
            <w:vAlign w:val="center"/>
          </w:tcPr>
          <w:p>
            <w:pPr>
              <w:rPr>
                <w:rFonts w:ascii="Times New Roman" w:hAnsi="Times New Roman"/>
                <w:szCs w:val="21"/>
              </w:rPr>
            </w:pPr>
            <w:r>
              <w:rPr>
                <w:rFonts w:ascii="Times New Roman" w:hAnsi="Times New Roman"/>
                <w:szCs w:val="21"/>
              </w:rPr>
              <w:fldChar w:fldCharType="begin"/>
            </w:r>
            <w:r>
              <w:rPr>
                <w:rFonts w:ascii="Times New Roman" w:hAnsi="Times New Roman"/>
                <w:szCs w:val="21"/>
              </w:rPr>
              <w:instrText xml:space="preserve"> = 1 \* GB3 </w:instrText>
            </w:r>
            <w:r>
              <w:rPr>
                <w:rFonts w:ascii="Times New Roman" w:hAnsi="Times New Roman"/>
                <w:szCs w:val="21"/>
              </w:rPr>
              <w:fldChar w:fldCharType="separate"/>
            </w:r>
            <w:r>
              <w:rPr>
                <w:rFonts w:ascii="宋体" w:hAnsi="宋体"/>
                <w:szCs w:val="21"/>
              </w:rPr>
              <w:t>①</w:t>
            </w:r>
            <w:r>
              <w:rPr>
                <w:rFonts w:ascii="Times New Roman" w:hAnsi="Times New Roman"/>
                <w:szCs w:val="21"/>
              </w:rPr>
              <w:fldChar w:fldCharType="end"/>
            </w:r>
            <w:r>
              <w:rPr>
                <w:rFonts w:ascii="Times New Roman" w:hAnsi="宋体"/>
                <w:szCs w:val="21"/>
              </w:rPr>
              <w:t>针对教育教学的新情况不断改进和完善质量保证制度，确保改进措施务实、有效；</w:t>
            </w:r>
          </w:p>
          <w:p>
            <w:pPr>
              <w:rPr>
                <w:rFonts w:ascii="Times New Roman" w:hAnsi="Times New Roman"/>
                <w:szCs w:val="21"/>
              </w:rPr>
            </w:pPr>
            <w:r>
              <w:rPr>
                <w:rFonts w:ascii="Times New Roman" w:hAnsi="Times New Roman"/>
                <w:szCs w:val="21"/>
              </w:rPr>
              <w:fldChar w:fldCharType="begin"/>
            </w:r>
            <w:r>
              <w:rPr>
                <w:rFonts w:ascii="Times New Roman" w:hAnsi="Times New Roman"/>
                <w:szCs w:val="21"/>
              </w:rPr>
              <w:instrText xml:space="preserve"> = 2 \* GB3 </w:instrText>
            </w:r>
            <w:r>
              <w:rPr>
                <w:rFonts w:ascii="Times New Roman" w:hAnsi="Times New Roman"/>
                <w:szCs w:val="21"/>
              </w:rPr>
              <w:fldChar w:fldCharType="separate"/>
            </w:r>
            <w:r>
              <w:rPr>
                <w:rFonts w:ascii="宋体" w:hAnsi="宋体"/>
                <w:szCs w:val="21"/>
              </w:rPr>
              <w:t>②</w:t>
            </w:r>
            <w:r>
              <w:rPr>
                <w:rFonts w:ascii="Times New Roman" w:hAnsi="Times New Roman"/>
                <w:szCs w:val="21"/>
              </w:rPr>
              <w:fldChar w:fldCharType="end"/>
            </w:r>
            <w:r>
              <w:rPr>
                <w:rFonts w:ascii="Times New Roman" w:hAnsi="宋体"/>
                <w:szCs w:val="21"/>
              </w:rPr>
              <w:t>按规定要求每年按时发布质量年度报告，质量年度报告结构规范、数据准确，具有较高质量；</w:t>
            </w:r>
          </w:p>
          <w:p>
            <w:pPr>
              <w:rPr>
                <w:rFonts w:ascii="Times New Roman" w:hAnsi="Times New Roman"/>
                <w:szCs w:val="21"/>
              </w:rPr>
            </w:pPr>
            <w:r>
              <w:rPr>
                <w:rFonts w:ascii="Times New Roman" w:hAnsi="Times New Roman"/>
                <w:szCs w:val="21"/>
              </w:rPr>
              <w:fldChar w:fldCharType="begin"/>
            </w:r>
            <w:r>
              <w:rPr>
                <w:rFonts w:ascii="Times New Roman" w:hAnsi="Times New Roman"/>
                <w:szCs w:val="21"/>
              </w:rPr>
              <w:instrText xml:space="preserve"> = 3 \* GB3 </w:instrText>
            </w:r>
            <w:r>
              <w:rPr>
                <w:rFonts w:ascii="Times New Roman" w:hAnsi="Times New Roman"/>
                <w:szCs w:val="21"/>
              </w:rPr>
              <w:fldChar w:fldCharType="separate"/>
            </w:r>
            <w:r>
              <w:rPr>
                <w:rFonts w:ascii="宋体" w:hAnsi="宋体"/>
                <w:szCs w:val="21"/>
              </w:rPr>
              <w:t>③</w:t>
            </w:r>
            <w:r>
              <w:rPr>
                <w:rFonts w:ascii="Times New Roman" w:hAnsi="Times New Roman"/>
                <w:szCs w:val="21"/>
              </w:rPr>
              <w:fldChar w:fldCharType="end"/>
            </w:r>
            <w:r>
              <w:rPr>
                <w:rFonts w:ascii="Times New Roman" w:hAnsi="宋体"/>
                <w:szCs w:val="21"/>
              </w:rPr>
              <w:t>院（系）、专业等层面积极开展自我诊改，形成常态化的教学质量保证机制，充分体现人才培养质量的责任自觉。</w:t>
            </w:r>
          </w:p>
        </w:tc>
        <w:tc>
          <w:tcPr>
            <w:tcW w:w="5103" w:type="dxa"/>
            <w:vAlign w:val="center"/>
          </w:tcPr>
          <w:p>
            <w:pPr>
              <w:rPr>
                <w:rFonts w:hint="eastAsia" w:ascii="Times New Roman" w:hAnsi="宋体"/>
                <w:szCs w:val="21"/>
              </w:rPr>
            </w:pPr>
            <w:r>
              <w:rPr>
                <w:rFonts w:hint="eastAsia" w:ascii="Times New Roman" w:hAnsi="Times New Roman"/>
                <w:szCs w:val="21"/>
              </w:rPr>
              <w:t>1、有关</w:t>
            </w:r>
            <w:r>
              <w:rPr>
                <w:rFonts w:hint="eastAsia" w:ascii="Times New Roman" w:hAnsi="宋体"/>
                <w:szCs w:val="21"/>
              </w:rPr>
              <w:t>学院</w:t>
            </w:r>
            <w:r>
              <w:rPr>
                <w:rFonts w:ascii="Times New Roman" w:hAnsi="宋体"/>
                <w:szCs w:val="21"/>
              </w:rPr>
              <w:t>质量保证制度</w:t>
            </w:r>
            <w:r>
              <w:rPr>
                <w:rFonts w:hint="eastAsia" w:ascii="Times New Roman" w:hAnsi="宋体"/>
                <w:szCs w:val="21"/>
              </w:rPr>
              <w:t>（修订或增补）的通知文件；</w:t>
            </w:r>
          </w:p>
          <w:p>
            <w:pPr>
              <w:rPr>
                <w:rFonts w:hint="eastAsia" w:ascii="Times New Roman" w:hAnsi="Times New Roman"/>
                <w:szCs w:val="21"/>
              </w:rPr>
            </w:pPr>
            <w:r>
              <w:rPr>
                <w:rFonts w:hint="eastAsia" w:ascii="Times New Roman" w:hAnsi="Times New Roman"/>
                <w:szCs w:val="21"/>
              </w:rPr>
              <w:t>2、近三年增加或修订有关质量保证制度一览表；</w:t>
            </w:r>
          </w:p>
          <w:p>
            <w:pPr>
              <w:rPr>
                <w:rFonts w:hint="eastAsia" w:ascii="Times New Roman" w:hAnsi="宋体"/>
                <w:szCs w:val="21"/>
              </w:rPr>
            </w:pPr>
            <w:r>
              <w:rPr>
                <w:rFonts w:hint="eastAsia" w:ascii="Times New Roman" w:hAnsi="Times New Roman"/>
                <w:szCs w:val="21"/>
              </w:rPr>
              <w:t>3、近2年《学院人才培养</w:t>
            </w:r>
            <w:r>
              <w:rPr>
                <w:rFonts w:ascii="Times New Roman" w:hAnsi="宋体"/>
                <w:szCs w:val="21"/>
              </w:rPr>
              <w:t>质量年度报告</w:t>
            </w:r>
            <w:r>
              <w:rPr>
                <w:rFonts w:hint="eastAsia" w:ascii="Times New Roman" w:hAnsi="宋体"/>
                <w:szCs w:val="21"/>
              </w:rPr>
              <w:t>》；</w:t>
            </w:r>
          </w:p>
          <w:p>
            <w:pPr>
              <w:rPr>
                <w:rFonts w:hint="eastAsia" w:ascii="Times New Roman" w:hAnsi="宋体"/>
                <w:szCs w:val="21"/>
              </w:rPr>
            </w:pPr>
            <w:r>
              <w:rPr>
                <w:rFonts w:hint="eastAsia" w:ascii="Times New Roman" w:hAnsi="宋体"/>
                <w:szCs w:val="21"/>
              </w:rPr>
              <w:t>4、近二年各院系工作计划及工作总结；</w:t>
            </w:r>
          </w:p>
          <w:p>
            <w:pPr>
              <w:rPr>
                <w:rFonts w:hint="eastAsia" w:ascii="Times New Roman" w:hAnsi="宋体"/>
                <w:szCs w:val="21"/>
              </w:rPr>
            </w:pPr>
            <w:r>
              <w:rPr>
                <w:rFonts w:hint="eastAsia" w:ascii="Times New Roman" w:hAnsi="宋体"/>
                <w:szCs w:val="21"/>
              </w:rPr>
              <w:t>5、</w:t>
            </w:r>
            <w:r>
              <w:rPr>
                <w:rFonts w:hint="eastAsia" w:ascii="Times New Roman" w:hAnsi="Times New Roman"/>
                <w:szCs w:val="21"/>
              </w:rPr>
              <w:t>近2年学校年度自我诊改报告</w:t>
            </w:r>
            <w:r>
              <w:rPr>
                <w:rFonts w:hint="eastAsia" w:ascii="Times New Roman" w:hAnsi="宋体"/>
                <w:szCs w:val="21"/>
              </w:rPr>
              <w:t>；</w:t>
            </w:r>
          </w:p>
          <w:p>
            <w:pPr>
              <w:rPr>
                <w:rFonts w:hint="eastAsia" w:ascii="Times New Roman" w:hAnsi="Times New Roman"/>
                <w:szCs w:val="21"/>
              </w:rPr>
            </w:pPr>
            <w:r>
              <w:rPr>
                <w:rFonts w:hint="eastAsia" w:ascii="Times New Roman" w:hAnsi="Times New Roman"/>
                <w:szCs w:val="21"/>
              </w:rPr>
              <w:t>6、近2年校内职能部门的年度自我诊改报告</w:t>
            </w:r>
            <w:r>
              <w:rPr>
                <w:rFonts w:hint="eastAsia" w:ascii="Times New Roman" w:hAnsi="宋体"/>
                <w:szCs w:val="21"/>
              </w:rPr>
              <w:t>；</w:t>
            </w:r>
          </w:p>
          <w:p>
            <w:pPr>
              <w:rPr>
                <w:rFonts w:ascii="Times New Roman" w:hAnsi="Times New Roman"/>
                <w:szCs w:val="21"/>
              </w:rPr>
            </w:pPr>
            <w:r>
              <w:rPr>
                <w:rFonts w:hint="eastAsia" w:ascii="Times New Roman" w:hAnsi="Times New Roman"/>
                <w:szCs w:val="21"/>
              </w:rPr>
              <w:t>7、近2年各院（系）部的年度自我诊改报告。</w:t>
            </w:r>
          </w:p>
        </w:tc>
        <w:tc>
          <w:tcPr>
            <w:tcW w:w="1096" w:type="dxa"/>
            <w:vAlign w:val="center"/>
          </w:tcPr>
          <w:p>
            <w:pPr>
              <w:jc w:val="center"/>
              <w:rPr>
                <w:rFonts w:hAnsi="宋体"/>
                <w:szCs w:val="21"/>
              </w:rPr>
            </w:pPr>
            <w:r>
              <w:rPr>
                <w:rFonts w:hint="eastAsia" w:hAnsi="宋体"/>
                <w:szCs w:val="21"/>
              </w:rPr>
              <w:t>办公室</w:t>
            </w:r>
          </w:p>
        </w:tc>
        <w:tc>
          <w:tcPr>
            <w:tcW w:w="1388" w:type="dxa"/>
            <w:vAlign w:val="center"/>
          </w:tcPr>
          <w:p>
            <w:pPr>
              <w:jc w:val="center"/>
              <w:rPr>
                <w:rFonts w:hint="eastAsia" w:hAnsi="宋体"/>
                <w:szCs w:val="21"/>
              </w:rPr>
            </w:pPr>
            <w:r>
              <w:rPr>
                <w:rFonts w:hint="eastAsia" w:hAnsi="宋体"/>
                <w:szCs w:val="21"/>
              </w:rPr>
              <w:t>办公室</w:t>
            </w:r>
          </w:p>
          <w:p>
            <w:pPr>
              <w:jc w:val="center"/>
              <w:rPr>
                <w:rFonts w:hint="eastAsia" w:hAnsi="宋体"/>
                <w:szCs w:val="21"/>
              </w:rPr>
            </w:pPr>
            <w:r>
              <w:rPr>
                <w:rFonts w:hint="eastAsia" w:hAnsi="宋体"/>
                <w:szCs w:val="21"/>
              </w:rPr>
              <w:t>各部门</w:t>
            </w:r>
          </w:p>
          <w:p>
            <w:pPr>
              <w:jc w:val="center"/>
              <w:rPr>
                <w:rFonts w:hAnsi="宋体"/>
                <w:szCs w:val="21"/>
              </w:rPr>
            </w:pPr>
            <w:r>
              <w:rPr>
                <w:rFonts w:hint="eastAsia" w:hAnsi="宋体"/>
                <w:szCs w:val="21"/>
              </w:rPr>
              <w:t>各院系（部）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 w:hRule="atLeast"/>
          <w:jc w:val="center"/>
        </w:trPr>
        <w:tc>
          <w:tcPr>
            <w:tcW w:w="1004" w:type="dxa"/>
            <w:vMerge w:val="continue"/>
            <w:shd w:val="clear" w:color="auto" w:fill="auto"/>
            <w:vAlign w:val="center"/>
          </w:tcPr>
          <w:p>
            <w:pPr>
              <w:jc w:val="center"/>
              <w:rPr>
                <w:rFonts w:ascii="Times New Roman" w:hAnsi="Times New Roman"/>
                <w:szCs w:val="21"/>
              </w:rPr>
            </w:pPr>
          </w:p>
        </w:tc>
        <w:tc>
          <w:tcPr>
            <w:tcW w:w="724" w:type="dxa"/>
            <w:vMerge w:val="restart"/>
            <w:shd w:val="clear" w:color="auto" w:fill="auto"/>
            <w:vAlign w:val="center"/>
          </w:tcPr>
          <w:p>
            <w:pPr>
              <w:jc w:val="center"/>
              <w:rPr>
                <w:rFonts w:ascii="Times New Roman" w:hAnsi="Times New Roman"/>
                <w:szCs w:val="21"/>
              </w:rPr>
            </w:pPr>
            <w:r>
              <w:rPr>
                <w:rFonts w:ascii="Times New Roman" w:hAnsi="Times New Roman"/>
                <w:szCs w:val="21"/>
              </w:rPr>
              <w:t>1.4</w:t>
            </w:r>
            <w:r>
              <w:rPr>
                <w:rFonts w:ascii="Times New Roman" w:hAnsi="宋体"/>
                <w:szCs w:val="21"/>
              </w:rPr>
              <w:t>信息系统</w:t>
            </w:r>
          </w:p>
        </w:tc>
        <w:tc>
          <w:tcPr>
            <w:tcW w:w="897" w:type="dxa"/>
            <w:shd w:val="clear" w:color="auto" w:fill="auto"/>
            <w:vAlign w:val="center"/>
          </w:tcPr>
          <w:p>
            <w:pPr>
              <w:jc w:val="center"/>
              <w:rPr>
                <w:rFonts w:ascii="Times New Roman" w:hAnsi="Times New Roman"/>
                <w:szCs w:val="21"/>
              </w:rPr>
            </w:pPr>
            <w:r>
              <w:rPr>
                <w:rFonts w:ascii="Times New Roman" w:hAnsi="宋体"/>
                <w:szCs w:val="21"/>
              </w:rPr>
              <w:t>信息采集与管理</w:t>
            </w:r>
          </w:p>
        </w:tc>
        <w:tc>
          <w:tcPr>
            <w:tcW w:w="4650" w:type="dxa"/>
            <w:shd w:val="clear" w:color="auto" w:fill="auto"/>
            <w:vAlign w:val="center"/>
          </w:tcPr>
          <w:p>
            <w:pPr>
              <w:rPr>
                <w:rFonts w:ascii="Times New Roman" w:hAnsi="Times New Roman"/>
                <w:szCs w:val="21"/>
              </w:rPr>
            </w:pPr>
            <w:r>
              <w:rPr>
                <w:rFonts w:ascii="Times New Roman" w:hAnsi="Times New Roman"/>
                <w:szCs w:val="21"/>
              </w:rPr>
              <w:fldChar w:fldCharType="begin"/>
            </w:r>
            <w:r>
              <w:rPr>
                <w:rFonts w:ascii="Times New Roman" w:hAnsi="Times New Roman"/>
                <w:szCs w:val="21"/>
              </w:rPr>
              <w:instrText xml:space="preserve"> = 1 \* GB3 </w:instrText>
            </w:r>
            <w:r>
              <w:rPr>
                <w:rFonts w:ascii="Times New Roman" w:hAnsi="Times New Roman"/>
                <w:szCs w:val="21"/>
              </w:rPr>
              <w:fldChar w:fldCharType="separate"/>
            </w:r>
            <w:r>
              <w:rPr>
                <w:rFonts w:ascii="宋体" w:hAnsi="宋体"/>
                <w:szCs w:val="21"/>
              </w:rPr>
              <w:t>①</w:t>
            </w:r>
            <w:r>
              <w:rPr>
                <w:rFonts w:ascii="Times New Roman" w:hAnsi="Times New Roman"/>
                <w:szCs w:val="21"/>
              </w:rPr>
              <w:fldChar w:fldCharType="end"/>
            </w:r>
            <w:r>
              <w:rPr>
                <w:rFonts w:ascii="Times New Roman" w:hAnsi="宋体"/>
                <w:szCs w:val="21"/>
              </w:rPr>
              <w:t>重视高职院校人才培养工作状态数据采集与管理平台建设，平台管理到位、运行良好，平台相关工作涉及到的人财物有充分保障；</w:t>
            </w:r>
          </w:p>
          <w:p>
            <w:pPr>
              <w:rPr>
                <w:rFonts w:ascii="Times New Roman" w:hAnsi="Times New Roman"/>
                <w:szCs w:val="21"/>
              </w:rPr>
            </w:pPr>
            <w:r>
              <w:rPr>
                <w:rFonts w:ascii="Times New Roman" w:hAnsi="Times New Roman"/>
                <w:szCs w:val="21"/>
              </w:rPr>
              <w:fldChar w:fldCharType="begin"/>
            </w:r>
            <w:r>
              <w:rPr>
                <w:rFonts w:ascii="Times New Roman" w:hAnsi="Times New Roman"/>
                <w:szCs w:val="21"/>
              </w:rPr>
              <w:instrText xml:space="preserve"> = 2 \* GB3 </w:instrText>
            </w:r>
            <w:r>
              <w:rPr>
                <w:rFonts w:ascii="Times New Roman" w:hAnsi="Times New Roman"/>
                <w:szCs w:val="21"/>
              </w:rPr>
              <w:fldChar w:fldCharType="separate"/>
            </w:r>
            <w:r>
              <w:rPr>
                <w:rFonts w:ascii="宋体" w:hAnsi="宋体"/>
                <w:szCs w:val="21"/>
              </w:rPr>
              <w:t>②</w:t>
            </w:r>
            <w:r>
              <w:rPr>
                <w:rFonts w:ascii="Times New Roman" w:hAnsi="Times New Roman"/>
                <w:szCs w:val="21"/>
              </w:rPr>
              <w:fldChar w:fldCharType="end"/>
            </w:r>
            <w:r>
              <w:rPr>
                <w:rFonts w:ascii="Times New Roman" w:hAnsi="宋体"/>
                <w:szCs w:val="21"/>
              </w:rPr>
              <w:t>建立信息采集与平台管理工作制度，出台数据采集奖惩措施，确保数据采集实时、准确、完整。</w:t>
            </w:r>
          </w:p>
        </w:tc>
        <w:tc>
          <w:tcPr>
            <w:tcW w:w="5103" w:type="dxa"/>
            <w:vAlign w:val="center"/>
          </w:tcPr>
          <w:p>
            <w:pPr>
              <w:rPr>
                <w:rFonts w:hint="eastAsia" w:ascii="Times New Roman" w:hAnsi="Times New Roman"/>
                <w:szCs w:val="21"/>
              </w:rPr>
            </w:pPr>
            <w:r>
              <w:rPr>
                <w:rFonts w:hint="eastAsia" w:ascii="Times New Roman" w:hAnsi="Times New Roman"/>
                <w:szCs w:val="21"/>
              </w:rPr>
              <w:t>1、学院《关于开展</w:t>
            </w:r>
            <w:r>
              <w:rPr>
                <w:rFonts w:ascii="Times New Roman" w:hAnsi="宋体"/>
                <w:szCs w:val="21"/>
              </w:rPr>
              <w:t>人才培养工作状态</w:t>
            </w:r>
            <w:r>
              <w:rPr>
                <w:rFonts w:hint="eastAsia" w:ascii="Times New Roman" w:hAnsi="Times New Roman"/>
                <w:szCs w:val="21"/>
              </w:rPr>
              <w:t>数据采集与管理》通知文件；</w:t>
            </w:r>
          </w:p>
          <w:p>
            <w:pPr>
              <w:rPr>
                <w:rFonts w:hint="eastAsia" w:ascii="Times New Roman" w:hAnsi="Times New Roman"/>
                <w:szCs w:val="21"/>
              </w:rPr>
            </w:pPr>
            <w:r>
              <w:rPr>
                <w:rFonts w:hint="eastAsia" w:ascii="Times New Roman" w:hAnsi="Times New Roman"/>
                <w:szCs w:val="21"/>
              </w:rPr>
              <w:t>2、学院</w:t>
            </w:r>
            <w:r>
              <w:rPr>
                <w:szCs w:val="21"/>
              </w:rPr>
              <w:t>平台数据采集和管理队伍</w:t>
            </w:r>
            <w:r>
              <w:rPr>
                <w:rFonts w:hint="eastAsia"/>
                <w:szCs w:val="21"/>
              </w:rPr>
              <w:t>人员一览表</w:t>
            </w:r>
            <w:r>
              <w:rPr>
                <w:rFonts w:hint="eastAsia" w:ascii="Times New Roman" w:hAnsi="Times New Roman"/>
                <w:szCs w:val="21"/>
              </w:rPr>
              <w:t>；</w:t>
            </w:r>
          </w:p>
          <w:p>
            <w:pPr>
              <w:rPr>
                <w:rFonts w:ascii="Times New Roman" w:hAnsi="宋体"/>
                <w:szCs w:val="21"/>
              </w:rPr>
            </w:pPr>
            <w:r>
              <w:rPr>
                <w:rFonts w:hint="eastAsia" w:ascii="Times New Roman" w:hAnsi="Times New Roman"/>
                <w:szCs w:val="21"/>
              </w:rPr>
              <w:t>3、学院《关于</w:t>
            </w:r>
            <w:r>
              <w:rPr>
                <w:rFonts w:ascii="Times New Roman" w:hAnsi="宋体"/>
                <w:szCs w:val="21"/>
              </w:rPr>
              <w:t>信息采集与平台管理工作制度</w:t>
            </w:r>
            <w:r>
              <w:rPr>
                <w:rFonts w:hint="eastAsia" w:ascii="Times New Roman" w:hAnsi="宋体"/>
                <w:szCs w:val="21"/>
              </w:rPr>
              <w:t>》通知文件。</w:t>
            </w:r>
          </w:p>
        </w:tc>
        <w:tc>
          <w:tcPr>
            <w:tcW w:w="1096" w:type="dxa"/>
            <w:vAlign w:val="center"/>
          </w:tcPr>
          <w:p>
            <w:pPr>
              <w:jc w:val="center"/>
              <w:rPr>
                <w:rFonts w:hAnsi="宋体"/>
                <w:szCs w:val="21"/>
              </w:rPr>
            </w:pPr>
            <w:r>
              <w:rPr>
                <w:rFonts w:hint="eastAsia" w:hAnsi="宋体"/>
                <w:szCs w:val="21"/>
              </w:rPr>
              <w:t>教务处</w:t>
            </w:r>
          </w:p>
        </w:tc>
        <w:tc>
          <w:tcPr>
            <w:tcW w:w="1388" w:type="dxa"/>
            <w:vAlign w:val="center"/>
          </w:tcPr>
          <w:p>
            <w:pPr>
              <w:jc w:val="center"/>
              <w:rPr>
                <w:rFonts w:hint="eastAsia" w:hAnsi="宋体"/>
                <w:szCs w:val="21"/>
              </w:rPr>
            </w:pPr>
            <w:r>
              <w:rPr>
                <w:rFonts w:hint="eastAsia" w:hAnsi="宋体"/>
                <w:szCs w:val="21"/>
              </w:rPr>
              <w:t>教务处</w:t>
            </w:r>
          </w:p>
          <w:p>
            <w:pPr>
              <w:jc w:val="center"/>
              <w:rPr>
                <w:rFonts w:hint="eastAsia" w:hAnsi="宋体"/>
                <w:szCs w:val="21"/>
              </w:rPr>
            </w:pPr>
            <w:r>
              <w:rPr>
                <w:rFonts w:hint="eastAsia" w:hAnsi="宋体"/>
                <w:szCs w:val="21"/>
              </w:rPr>
              <w:t>办公室</w:t>
            </w:r>
          </w:p>
          <w:p>
            <w:pPr>
              <w:jc w:val="center"/>
              <w:rPr>
                <w:rFonts w:hint="eastAsia" w:hAnsi="宋体"/>
                <w:szCs w:val="21"/>
              </w:rPr>
            </w:pPr>
            <w:r>
              <w:rPr>
                <w:rFonts w:hint="eastAsia" w:hAnsi="宋体"/>
                <w:szCs w:val="21"/>
              </w:rPr>
              <w:t>各部门</w:t>
            </w:r>
          </w:p>
          <w:p>
            <w:pPr>
              <w:jc w:val="center"/>
              <w:rPr>
                <w:rFonts w:hAnsi="宋体"/>
                <w:szCs w:val="21"/>
              </w:rPr>
            </w:pPr>
            <w:r>
              <w:rPr>
                <w:rFonts w:hint="eastAsia" w:hAnsi="宋体"/>
                <w:szCs w:val="21"/>
              </w:rPr>
              <w:t>各院系（部）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 w:hRule="atLeast"/>
          <w:jc w:val="center"/>
        </w:trPr>
        <w:tc>
          <w:tcPr>
            <w:tcW w:w="1004" w:type="dxa"/>
            <w:vMerge w:val="continue"/>
            <w:shd w:val="clear" w:color="auto" w:fill="auto"/>
            <w:vAlign w:val="center"/>
          </w:tcPr>
          <w:p>
            <w:pPr>
              <w:jc w:val="center"/>
              <w:rPr>
                <w:rFonts w:ascii="Times New Roman" w:hAnsi="Times New Roman"/>
                <w:szCs w:val="21"/>
              </w:rPr>
            </w:pPr>
          </w:p>
        </w:tc>
        <w:tc>
          <w:tcPr>
            <w:tcW w:w="724" w:type="dxa"/>
            <w:vMerge w:val="continue"/>
            <w:shd w:val="clear" w:color="auto" w:fill="auto"/>
            <w:vAlign w:val="center"/>
          </w:tcPr>
          <w:p>
            <w:pPr>
              <w:jc w:val="center"/>
              <w:rPr>
                <w:rFonts w:ascii="Times New Roman" w:hAnsi="Times New Roman"/>
                <w:szCs w:val="21"/>
              </w:rPr>
            </w:pPr>
          </w:p>
        </w:tc>
        <w:tc>
          <w:tcPr>
            <w:tcW w:w="897" w:type="dxa"/>
            <w:shd w:val="clear" w:color="auto" w:fill="auto"/>
            <w:vAlign w:val="center"/>
          </w:tcPr>
          <w:p>
            <w:pPr>
              <w:jc w:val="center"/>
              <w:rPr>
                <w:rFonts w:ascii="Times New Roman" w:hAnsi="Times New Roman"/>
                <w:szCs w:val="21"/>
              </w:rPr>
            </w:pPr>
            <w:r>
              <w:rPr>
                <w:rFonts w:ascii="Times New Roman" w:hAnsi="宋体"/>
                <w:szCs w:val="21"/>
              </w:rPr>
              <w:t>信息应用</w:t>
            </w:r>
          </w:p>
        </w:tc>
        <w:tc>
          <w:tcPr>
            <w:tcW w:w="4650" w:type="dxa"/>
            <w:shd w:val="clear" w:color="auto" w:fill="auto"/>
            <w:vAlign w:val="center"/>
          </w:tcPr>
          <w:p>
            <w:pPr>
              <w:rPr>
                <w:rFonts w:ascii="Times New Roman" w:hAnsi="Times New Roman"/>
                <w:szCs w:val="21"/>
              </w:rPr>
            </w:pPr>
            <w:r>
              <w:rPr>
                <w:rFonts w:ascii="Times New Roman" w:hAnsi="Times New Roman"/>
                <w:szCs w:val="21"/>
              </w:rPr>
              <w:fldChar w:fldCharType="begin"/>
            </w:r>
            <w:r>
              <w:rPr>
                <w:rFonts w:ascii="Times New Roman" w:hAnsi="Times New Roman"/>
                <w:szCs w:val="21"/>
              </w:rPr>
              <w:instrText xml:space="preserve"> = 1 \* GB3 </w:instrText>
            </w:r>
            <w:r>
              <w:rPr>
                <w:rFonts w:ascii="Times New Roman" w:hAnsi="Times New Roman"/>
                <w:szCs w:val="21"/>
              </w:rPr>
              <w:fldChar w:fldCharType="separate"/>
            </w:r>
            <w:r>
              <w:rPr>
                <w:rFonts w:ascii="宋体" w:hAnsi="宋体"/>
                <w:szCs w:val="21"/>
              </w:rPr>
              <w:t>①</w:t>
            </w:r>
            <w:r>
              <w:rPr>
                <w:rFonts w:ascii="Times New Roman" w:hAnsi="Times New Roman"/>
                <w:szCs w:val="21"/>
              </w:rPr>
              <w:fldChar w:fldCharType="end"/>
            </w:r>
            <w:r>
              <w:rPr>
                <w:rFonts w:ascii="Times New Roman" w:hAnsi="宋体"/>
                <w:szCs w:val="21"/>
              </w:rPr>
              <w:t>建好、用好状态数据平台，加强研究分析、充分发挥状态数据平台的功能，运用平台进行日常管理和教学质量过程监控，定期开展数据分析，形成常态化的信息反馈诊断分析与改进机制。</w:t>
            </w:r>
          </w:p>
        </w:tc>
        <w:tc>
          <w:tcPr>
            <w:tcW w:w="5103" w:type="dxa"/>
            <w:vAlign w:val="center"/>
          </w:tcPr>
          <w:p>
            <w:pPr>
              <w:rPr>
                <w:rFonts w:hint="eastAsia" w:ascii="Times New Roman" w:hAnsi="Times New Roman"/>
                <w:szCs w:val="21"/>
              </w:rPr>
            </w:pPr>
            <w:r>
              <w:rPr>
                <w:rFonts w:hint="eastAsia" w:ascii="Times New Roman" w:hAnsi="Times New Roman"/>
                <w:szCs w:val="21"/>
              </w:rPr>
              <w:t>1、近2年学校的《人才培养工作状态数据分析报告》；</w:t>
            </w:r>
          </w:p>
          <w:p>
            <w:pPr>
              <w:rPr>
                <w:rFonts w:ascii="Times New Roman" w:hAnsi="Times New Roman"/>
                <w:szCs w:val="21"/>
              </w:rPr>
            </w:pPr>
            <w:r>
              <w:rPr>
                <w:rFonts w:hint="eastAsia" w:ascii="Times New Roman" w:hAnsi="Times New Roman"/>
                <w:szCs w:val="21"/>
              </w:rPr>
              <w:t>2、2014-2015学年学院数据平台存在的问题分析及整改相关材料。</w:t>
            </w:r>
          </w:p>
        </w:tc>
        <w:tc>
          <w:tcPr>
            <w:tcW w:w="1096" w:type="dxa"/>
            <w:vAlign w:val="center"/>
          </w:tcPr>
          <w:p>
            <w:pPr>
              <w:jc w:val="center"/>
              <w:rPr>
                <w:rFonts w:hAnsi="宋体"/>
                <w:szCs w:val="21"/>
              </w:rPr>
            </w:pPr>
            <w:r>
              <w:rPr>
                <w:rFonts w:hint="eastAsia" w:hAnsi="宋体"/>
                <w:szCs w:val="21"/>
              </w:rPr>
              <w:t>教务处</w:t>
            </w:r>
          </w:p>
        </w:tc>
        <w:tc>
          <w:tcPr>
            <w:tcW w:w="1388" w:type="dxa"/>
            <w:vAlign w:val="center"/>
          </w:tcPr>
          <w:p>
            <w:pPr>
              <w:jc w:val="center"/>
              <w:rPr>
                <w:rFonts w:hint="eastAsia" w:hAnsi="宋体"/>
                <w:szCs w:val="21"/>
              </w:rPr>
            </w:pPr>
            <w:r>
              <w:rPr>
                <w:rFonts w:hint="eastAsia" w:hAnsi="宋体"/>
                <w:szCs w:val="21"/>
              </w:rPr>
              <w:t>教务处</w:t>
            </w:r>
          </w:p>
          <w:p>
            <w:pPr>
              <w:jc w:val="center"/>
              <w:rPr>
                <w:rFonts w:hint="eastAsia" w:hAnsi="宋体"/>
                <w:szCs w:val="21"/>
              </w:rPr>
            </w:pPr>
            <w:r>
              <w:rPr>
                <w:rFonts w:hint="eastAsia" w:hAnsi="宋体"/>
                <w:szCs w:val="21"/>
              </w:rPr>
              <w:t>各部门</w:t>
            </w:r>
          </w:p>
          <w:p>
            <w:pPr>
              <w:jc w:val="center"/>
              <w:rPr>
                <w:rFonts w:hAnsi="宋体"/>
                <w:szCs w:val="21"/>
              </w:rPr>
            </w:pPr>
            <w:r>
              <w:rPr>
                <w:rFonts w:hint="eastAsia" w:hAnsi="宋体"/>
                <w:szCs w:val="21"/>
              </w:rPr>
              <w:t>各院系（部）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0" w:hRule="atLeast"/>
          <w:jc w:val="center"/>
        </w:trPr>
        <w:tc>
          <w:tcPr>
            <w:tcW w:w="1004" w:type="dxa"/>
            <w:vMerge w:val="restart"/>
            <w:shd w:val="clear" w:color="auto" w:fill="auto"/>
            <w:vAlign w:val="center"/>
          </w:tcPr>
          <w:p>
            <w:pPr>
              <w:jc w:val="center"/>
              <w:rPr>
                <w:rFonts w:ascii="Times New Roman" w:hAnsi="Times New Roman"/>
                <w:szCs w:val="21"/>
              </w:rPr>
            </w:pPr>
            <w:r>
              <w:rPr>
                <w:rFonts w:ascii="Times New Roman" w:hAnsi="Times New Roman"/>
                <w:b/>
                <w:sz w:val="24"/>
              </w:rPr>
              <w:t xml:space="preserve">2 </w:t>
            </w:r>
            <w:r>
              <w:rPr>
                <w:rFonts w:ascii="Times New Roman" w:hAnsi="宋体"/>
                <w:b/>
                <w:sz w:val="24"/>
              </w:rPr>
              <w:t>专业质量保证</w:t>
            </w:r>
            <w:r>
              <w:rPr>
                <w:rFonts w:hint="eastAsia" w:ascii="Times New Roman" w:hAnsi="Times New Roman"/>
                <w:b/>
                <w:sz w:val="24"/>
              </w:rPr>
              <w:t>（负责部门：教务处）</w:t>
            </w:r>
          </w:p>
        </w:tc>
        <w:tc>
          <w:tcPr>
            <w:tcW w:w="724" w:type="dxa"/>
            <w:vMerge w:val="restart"/>
            <w:shd w:val="clear" w:color="auto" w:fill="auto"/>
            <w:vAlign w:val="center"/>
          </w:tcPr>
          <w:p>
            <w:pPr>
              <w:jc w:val="center"/>
              <w:rPr>
                <w:rFonts w:ascii="Times New Roman" w:hAnsi="Times New Roman"/>
                <w:szCs w:val="21"/>
              </w:rPr>
            </w:pPr>
            <w:r>
              <w:rPr>
                <w:rFonts w:ascii="Times New Roman" w:hAnsi="Times New Roman"/>
                <w:szCs w:val="21"/>
              </w:rPr>
              <w:t>2.1</w:t>
            </w:r>
            <w:r>
              <w:rPr>
                <w:rFonts w:ascii="Times New Roman" w:hAnsi="宋体"/>
                <w:szCs w:val="21"/>
              </w:rPr>
              <w:t>专业建设规划</w:t>
            </w:r>
          </w:p>
        </w:tc>
        <w:tc>
          <w:tcPr>
            <w:tcW w:w="897" w:type="dxa"/>
            <w:shd w:val="clear" w:color="auto" w:fill="auto"/>
            <w:vAlign w:val="center"/>
          </w:tcPr>
          <w:p>
            <w:pPr>
              <w:jc w:val="center"/>
              <w:rPr>
                <w:rFonts w:ascii="Times New Roman" w:hAnsi="Times New Roman"/>
                <w:szCs w:val="21"/>
              </w:rPr>
            </w:pPr>
            <w:r>
              <w:rPr>
                <w:rFonts w:ascii="Times New Roman" w:hAnsi="宋体"/>
                <w:szCs w:val="21"/>
              </w:rPr>
              <w:t>规划制定与实施</w:t>
            </w:r>
          </w:p>
        </w:tc>
        <w:tc>
          <w:tcPr>
            <w:tcW w:w="4650" w:type="dxa"/>
            <w:shd w:val="clear" w:color="auto" w:fill="auto"/>
            <w:vAlign w:val="center"/>
          </w:tcPr>
          <w:p>
            <w:pPr>
              <w:rPr>
                <w:rFonts w:ascii="Times New Roman" w:hAnsi="Times New Roman"/>
                <w:szCs w:val="21"/>
              </w:rPr>
            </w:pPr>
            <w:r>
              <w:rPr>
                <w:rFonts w:ascii="Times New Roman" w:hAnsi="Times New Roman"/>
                <w:szCs w:val="21"/>
              </w:rPr>
              <w:fldChar w:fldCharType="begin"/>
            </w:r>
            <w:r>
              <w:rPr>
                <w:rFonts w:ascii="Times New Roman" w:hAnsi="Times New Roman"/>
                <w:szCs w:val="21"/>
              </w:rPr>
              <w:instrText xml:space="preserve"> = 1 \* GB3 </w:instrText>
            </w:r>
            <w:r>
              <w:rPr>
                <w:rFonts w:ascii="Times New Roman" w:hAnsi="Times New Roman"/>
                <w:szCs w:val="21"/>
              </w:rPr>
              <w:fldChar w:fldCharType="separate"/>
            </w:r>
            <w:r>
              <w:rPr>
                <w:rFonts w:ascii="宋体" w:hAnsi="宋体"/>
                <w:szCs w:val="21"/>
              </w:rPr>
              <w:t>①</w:t>
            </w:r>
            <w:r>
              <w:rPr>
                <w:rFonts w:ascii="Times New Roman" w:hAnsi="Times New Roman"/>
                <w:szCs w:val="21"/>
              </w:rPr>
              <w:fldChar w:fldCharType="end"/>
            </w:r>
            <w:r>
              <w:rPr>
                <w:rFonts w:ascii="Times New Roman" w:hAnsi="宋体"/>
                <w:szCs w:val="21"/>
              </w:rPr>
              <w:t>主动适应区域经济、行业产业发展需求，制定并完善符合学校发展实际的专业建设规划，并能逐年落实。</w:t>
            </w:r>
          </w:p>
        </w:tc>
        <w:tc>
          <w:tcPr>
            <w:tcW w:w="5103" w:type="dxa"/>
            <w:vAlign w:val="center"/>
          </w:tcPr>
          <w:p>
            <w:pPr>
              <w:rPr>
                <w:rFonts w:hint="eastAsia" w:ascii="Times New Roman" w:hAnsi="Times New Roman"/>
                <w:szCs w:val="21"/>
              </w:rPr>
            </w:pPr>
            <w:r>
              <w:rPr>
                <w:rFonts w:hint="eastAsia" w:ascii="Times New Roman" w:hAnsi="Times New Roman"/>
                <w:szCs w:val="21"/>
              </w:rPr>
              <w:t>1、莆田市国民经济和社会发展</w:t>
            </w:r>
            <w:r>
              <w:rPr>
                <w:rFonts w:ascii="Times New Roman" w:hAnsi="Times New Roman"/>
                <w:szCs w:val="21"/>
              </w:rPr>
              <w:t>“</w:t>
            </w:r>
            <w:r>
              <w:rPr>
                <w:rFonts w:hint="eastAsia" w:ascii="Times New Roman" w:hAnsi="Times New Roman"/>
                <w:szCs w:val="21"/>
              </w:rPr>
              <w:t>十二五</w:t>
            </w:r>
            <w:r>
              <w:rPr>
                <w:rFonts w:ascii="Times New Roman" w:hAnsi="Times New Roman"/>
                <w:szCs w:val="21"/>
              </w:rPr>
              <w:t xml:space="preserve">” </w:t>
            </w:r>
            <w:r>
              <w:rPr>
                <w:rFonts w:hint="eastAsia" w:ascii="Times New Roman" w:hAnsi="Times New Roman"/>
                <w:szCs w:val="21"/>
              </w:rPr>
              <w:t>、</w:t>
            </w:r>
            <w:r>
              <w:rPr>
                <w:rFonts w:ascii="Times New Roman" w:hAnsi="Times New Roman"/>
                <w:szCs w:val="21"/>
              </w:rPr>
              <w:t>“</w:t>
            </w:r>
            <w:r>
              <w:rPr>
                <w:rFonts w:hint="eastAsia" w:ascii="Times New Roman" w:hAnsi="Times New Roman"/>
                <w:szCs w:val="21"/>
              </w:rPr>
              <w:t>十三五</w:t>
            </w:r>
            <w:r>
              <w:rPr>
                <w:rFonts w:ascii="Times New Roman" w:hAnsi="Times New Roman"/>
                <w:szCs w:val="21"/>
              </w:rPr>
              <w:t>”</w:t>
            </w:r>
            <w:r>
              <w:rPr>
                <w:rFonts w:hint="eastAsia" w:ascii="Times New Roman" w:hAnsi="Times New Roman"/>
                <w:szCs w:val="21"/>
              </w:rPr>
              <w:t>规划；</w:t>
            </w:r>
          </w:p>
          <w:p>
            <w:pPr>
              <w:rPr>
                <w:rFonts w:hint="eastAsia" w:ascii="Times New Roman" w:hAnsi="Times New Roman"/>
                <w:szCs w:val="21"/>
              </w:rPr>
            </w:pPr>
            <w:r>
              <w:rPr>
                <w:rFonts w:hint="eastAsia"/>
                <w:szCs w:val="21"/>
              </w:rPr>
              <w:t>2、</w:t>
            </w:r>
            <w:r>
              <w:rPr>
                <w:rFonts w:hAnsi="宋体"/>
                <w:szCs w:val="21"/>
              </w:rPr>
              <w:t>学院事业发展规划（</w:t>
            </w:r>
            <w:r>
              <w:rPr>
                <w:szCs w:val="21"/>
              </w:rPr>
              <w:t>“</w:t>
            </w:r>
            <w:r>
              <w:rPr>
                <w:rFonts w:hAnsi="宋体"/>
                <w:szCs w:val="21"/>
              </w:rPr>
              <w:t>十二五</w:t>
            </w:r>
            <w:r>
              <w:rPr>
                <w:szCs w:val="21"/>
              </w:rPr>
              <w:t xml:space="preserve">” </w:t>
            </w:r>
            <w:r>
              <w:rPr>
                <w:rFonts w:hAnsi="宋体"/>
                <w:szCs w:val="21"/>
              </w:rPr>
              <w:t>、</w:t>
            </w:r>
            <w:r>
              <w:rPr>
                <w:szCs w:val="21"/>
              </w:rPr>
              <w:t>“</w:t>
            </w:r>
            <w:r>
              <w:rPr>
                <w:rFonts w:hAnsi="宋体"/>
                <w:szCs w:val="21"/>
              </w:rPr>
              <w:t>十三五</w:t>
            </w:r>
            <w:r>
              <w:rPr>
                <w:szCs w:val="21"/>
              </w:rPr>
              <w:t>”</w:t>
            </w:r>
            <w:r>
              <w:rPr>
                <w:rFonts w:hAnsi="宋体"/>
                <w:szCs w:val="21"/>
              </w:rPr>
              <w:t>）；</w:t>
            </w:r>
          </w:p>
          <w:p>
            <w:pPr>
              <w:rPr>
                <w:rFonts w:hint="eastAsia" w:ascii="Times New Roman" w:hAnsi="Times New Roman"/>
                <w:szCs w:val="21"/>
              </w:rPr>
            </w:pPr>
            <w:r>
              <w:rPr>
                <w:rFonts w:hint="eastAsia" w:ascii="Times New Roman" w:hAnsi="Times New Roman"/>
                <w:szCs w:val="21"/>
              </w:rPr>
              <w:t>3、</w:t>
            </w:r>
            <w:r>
              <w:rPr>
                <w:rFonts w:hAnsi="宋体"/>
                <w:szCs w:val="21"/>
              </w:rPr>
              <w:t>学院专业建设发展规划（</w:t>
            </w:r>
            <w:r>
              <w:rPr>
                <w:szCs w:val="21"/>
              </w:rPr>
              <w:t>“</w:t>
            </w:r>
            <w:r>
              <w:rPr>
                <w:rFonts w:hAnsi="宋体"/>
                <w:szCs w:val="21"/>
              </w:rPr>
              <w:t>十二五</w:t>
            </w:r>
            <w:r>
              <w:rPr>
                <w:szCs w:val="21"/>
              </w:rPr>
              <w:t>”</w:t>
            </w:r>
            <w:r>
              <w:rPr>
                <w:rFonts w:hAnsi="宋体"/>
                <w:szCs w:val="21"/>
              </w:rPr>
              <w:t>、</w:t>
            </w:r>
            <w:r>
              <w:rPr>
                <w:szCs w:val="21"/>
              </w:rPr>
              <w:t xml:space="preserve"> “</w:t>
            </w:r>
            <w:r>
              <w:rPr>
                <w:rFonts w:hAnsi="宋体"/>
                <w:szCs w:val="21"/>
              </w:rPr>
              <w:t>十三五</w:t>
            </w:r>
            <w:r>
              <w:rPr>
                <w:szCs w:val="21"/>
              </w:rPr>
              <w:t>”</w:t>
            </w:r>
            <w:r>
              <w:rPr>
                <w:rFonts w:hAnsi="宋体"/>
                <w:szCs w:val="21"/>
              </w:rPr>
              <w:t>）</w:t>
            </w:r>
            <w:r>
              <w:rPr>
                <w:rFonts w:hint="eastAsia" w:hAnsi="宋体"/>
                <w:szCs w:val="21"/>
              </w:rPr>
              <w:t>；</w:t>
            </w:r>
            <w:r>
              <w:rPr>
                <w:rFonts w:hint="eastAsia" w:ascii="Times New Roman" w:hAnsi="Times New Roman"/>
                <w:szCs w:val="21"/>
              </w:rPr>
              <w:t xml:space="preserve"> </w:t>
            </w:r>
          </w:p>
          <w:p>
            <w:pPr>
              <w:rPr>
                <w:rFonts w:hint="eastAsia" w:ascii="Times New Roman" w:hAnsi="Times New Roman"/>
                <w:szCs w:val="21"/>
              </w:rPr>
            </w:pPr>
            <w:r>
              <w:rPr>
                <w:rFonts w:hint="eastAsia" w:ascii="Times New Roman" w:hAnsi="Times New Roman"/>
                <w:szCs w:val="21"/>
              </w:rPr>
              <w:t>4、学院专业建设成果汇总一览表；</w:t>
            </w:r>
          </w:p>
          <w:p>
            <w:pPr>
              <w:rPr>
                <w:rFonts w:hint="eastAsia" w:ascii="Times New Roman" w:hAnsi="Times New Roman"/>
                <w:szCs w:val="21"/>
              </w:rPr>
            </w:pPr>
            <w:r>
              <w:rPr>
                <w:rFonts w:hint="eastAsia" w:ascii="Times New Roman" w:hAnsi="Times New Roman"/>
                <w:szCs w:val="21"/>
              </w:rPr>
              <w:t>5、近三年学院工作计划与总结；</w:t>
            </w:r>
          </w:p>
          <w:p>
            <w:pPr>
              <w:rPr>
                <w:rFonts w:ascii="Times New Roman" w:hAnsi="Times New Roman"/>
                <w:szCs w:val="21"/>
              </w:rPr>
            </w:pPr>
            <w:r>
              <w:rPr>
                <w:rFonts w:hint="eastAsia" w:ascii="Times New Roman" w:hAnsi="Times New Roman"/>
                <w:szCs w:val="21"/>
              </w:rPr>
              <w:t>6、各院系工作计划与总结。</w:t>
            </w:r>
          </w:p>
        </w:tc>
        <w:tc>
          <w:tcPr>
            <w:tcW w:w="1096" w:type="dxa"/>
            <w:vAlign w:val="center"/>
          </w:tcPr>
          <w:p>
            <w:pPr>
              <w:jc w:val="center"/>
              <w:rPr>
                <w:rFonts w:hAnsi="宋体"/>
                <w:szCs w:val="21"/>
              </w:rPr>
            </w:pPr>
            <w:r>
              <w:rPr>
                <w:rFonts w:hint="eastAsia" w:hAnsi="宋体"/>
                <w:szCs w:val="21"/>
              </w:rPr>
              <w:t>办公室</w:t>
            </w:r>
          </w:p>
        </w:tc>
        <w:tc>
          <w:tcPr>
            <w:tcW w:w="1388" w:type="dxa"/>
            <w:vAlign w:val="center"/>
          </w:tcPr>
          <w:p>
            <w:pPr>
              <w:jc w:val="center"/>
              <w:rPr>
                <w:rFonts w:hint="eastAsia" w:hAnsi="宋体"/>
                <w:szCs w:val="21"/>
              </w:rPr>
            </w:pPr>
            <w:r>
              <w:rPr>
                <w:rFonts w:hint="eastAsia" w:hAnsi="宋体"/>
                <w:szCs w:val="21"/>
              </w:rPr>
              <w:t>办公室</w:t>
            </w:r>
          </w:p>
          <w:p>
            <w:pPr>
              <w:jc w:val="center"/>
              <w:rPr>
                <w:rFonts w:hint="eastAsia" w:hAnsi="宋体"/>
                <w:szCs w:val="21"/>
              </w:rPr>
            </w:pPr>
            <w:r>
              <w:rPr>
                <w:rFonts w:hint="eastAsia" w:hAnsi="宋体"/>
                <w:szCs w:val="21"/>
              </w:rPr>
              <w:t>教务处</w:t>
            </w:r>
          </w:p>
          <w:p>
            <w:pPr>
              <w:jc w:val="center"/>
              <w:rPr>
                <w:rFonts w:hint="eastAsia" w:hAnsi="宋体"/>
                <w:szCs w:val="21"/>
              </w:rPr>
            </w:pPr>
            <w:r>
              <w:rPr>
                <w:rFonts w:hint="eastAsia" w:hAnsi="宋体"/>
                <w:szCs w:val="21"/>
              </w:rPr>
              <w:t>各院系（部）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20" w:hRule="atLeast"/>
          <w:jc w:val="center"/>
        </w:trPr>
        <w:tc>
          <w:tcPr>
            <w:tcW w:w="1004" w:type="dxa"/>
            <w:vMerge w:val="continue"/>
            <w:shd w:val="clear" w:color="auto" w:fill="auto"/>
            <w:vAlign w:val="center"/>
          </w:tcPr>
          <w:p>
            <w:pPr>
              <w:jc w:val="center"/>
              <w:rPr>
                <w:rFonts w:ascii="Times New Roman" w:hAnsi="Times New Roman"/>
                <w:szCs w:val="21"/>
              </w:rPr>
            </w:pPr>
          </w:p>
        </w:tc>
        <w:tc>
          <w:tcPr>
            <w:tcW w:w="724" w:type="dxa"/>
            <w:vMerge w:val="continue"/>
            <w:shd w:val="clear" w:color="auto" w:fill="auto"/>
            <w:vAlign w:val="center"/>
          </w:tcPr>
          <w:p>
            <w:pPr>
              <w:jc w:val="center"/>
              <w:rPr>
                <w:rFonts w:ascii="Times New Roman" w:hAnsi="Times New Roman"/>
                <w:szCs w:val="21"/>
              </w:rPr>
            </w:pPr>
          </w:p>
        </w:tc>
        <w:tc>
          <w:tcPr>
            <w:tcW w:w="897" w:type="dxa"/>
            <w:shd w:val="clear" w:color="auto" w:fill="auto"/>
            <w:vAlign w:val="center"/>
          </w:tcPr>
          <w:p>
            <w:pPr>
              <w:jc w:val="center"/>
              <w:rPr>
                <w:rFonts w:ascii="Times New Roman" w:hAnsi="Times New Roman"/>
                <w:szCs w:val="21"/>
              </w:rPr>
            </w:pPr>
            <w:r>
              <w:rPr>
                <w:rFonts w:ascii="Times New Roman" w:hAnsi="宋体"/>
                <w:szCs w:val="21"/>
              </w:rPr>
              <w:t>目标与标准</w:t>
            </w:r>
          </w:p>
        </w:tc>
        <w:tc>
          <w:tcPr>
            <w:tcW w:w="4650" w:type="dxa"/>
            <w:shd w:val="clear" w:color="auto" w:fill="auto"/>
            <w:vAlign w:val="center"/>
          </w:tcPr>
          <w:p>
            <w:pPr>
              <w:rPr>
                <w:rFonts w:ascii="Times New Roman" w:hAnsi="Times New Roman"/>
                <w:szCs w:val="21"/>
              </w:rPr>
            </w:pPr>
            <w:r>
              <w:rPr>
                <w:rFonts w:ascii="Times New Roman" w:hAnsi="Times New Roman"/>
                <w:szCs w:val="21"/>
              </w:rPr>
              <w:fldChar w:fldCharType="begin"/>
            </w:r>
            <w:r>
              <w:rPr>
                <w:rFonts w:ascii="Times New Roman" w:hAnsi="Times New Roman"/>
                <w:szCs w:val="21"/>
              </w:rPr>
              <w:instrText xml:space="preserve"> = 1 \* GB3 </w:instrText>
            </w:r>
            <w:r>
              <w:rPr>
                <w:rFonts w:ascii="Times New Roman" w:hAnsi="Times New Roman"/>
                <w:szCs w:val="21"/>
              </w:rPr>
              <w:fldChar w:fldCharType="separate"/>
            </w:r>
            <w:r>
              <w:rPr>
                <w:rFonts w:ascii="宋体" w:hAnsi="宋体"/>
                <w:szCs w:val="21"/>
              </w:rPr>
              <w:t>①</w:t>
            </w:r>
            <w:r>
              <w:rPr>
                <w:rFonts w:ascii="Times New Roman" w:hAnsi="Times New Roman"/>
                <w:szCs w:val="21"/>
              </w:rPr>
              <w:fldChar w:fldCharType="end"/>
            </w:r>
            <w:r>
              <w:rPr>
                <w:rFonts w:ascii="Times New Roman" w:hAnsi="宋体"/>
                <w:szCs w:val="21"/>
              </w:rPr>
              <w:t>每个专业都有科学、明确的专业建设目标和标准；</w:t>
            </w:r>
          </w:p>
          <w:p>
            <w:pPr>
              <w:rPr>
                <w:rFonts w:ascii="Times New Roman" w:hAnsi="Times New Roman"/>
                <w:szCs w:val="21"/>
              </w:rPr>
            </w:pPr>
            <w:r>
              <w:rPr>
                <w:rFonts w:ascii="Times New Roman" w:hAnsi="Times New Roman"/>
                <w:szCs w:val="21"/>
              </w:rPr>
              <w:fldChar w:fldCharType="begin"/>
            </w:r>
            <w:r>
              <w:rPr>
                <w:rFonts w:ascii="Times New Roman" w:hAnsi="Times New Roman"/>
                <w:szCs w:val="21"/>
              </w:rPr>
              <w:instrText xml:space="preserve"> = 2 \* GB3 </w:instrText>
            </w:r>
            <w:r>
              <w:rPr>
                <w:rFonts w:ascii="Times New Roman" w:hAnsi="Times New Roman"/>
                <w:szCs w:val="21"/>
              </w:rPr>
              <w:fldChar w:fldCharType="separate"/>
            </w:r>
            <w:r>
              <w:rPr>
                <w:rFonts w:ascii="宋体" w:hAnsi="宋体"/>
                <w:szCs w:val="21"/>
              </w:rPr>
              <w:t>②</w:t>
            </w:r>
            <w:r>
              <w:rPr>
                <w:rFonts w:ascii="Times New Roman" w:hAnsi="Times New Roman"/>
                <w:szCs w:val="21"/>
              </w:rPr>
              <w:fldChar w:fldCharType="end"/>
            </w:r>
            <w:r>
              <w:rPr>
                <w:rFonts w:ascii="Times New Roman" w:hAnsi="宋体"/>
                <w:kern w:val="0"/>
                <w:szCs w:val="21"/>
              </w:rPr>
              <w:t>以提升创新创业能力为引领，制订体现课程内容与职业标准对接、教学过程与生产过程对接、毕业证书与职业资格证书对接的人才培养方案，并根据市场和岗位需求，适时调整优化</w:t>
            </w:r>
            <w:r>
              <w:rPr>
                <w:rFonts w:ascii="Times New Roman" w:hAnsi="宋体"/>
                <w:szCs w:val="21"/>
              </w:rPr>
              <w:t>。</w:t>
            </w:r>
          </w:p>
        </w:tc>
        <w:tc>
          <w:tcPr>
            <w:tcW w:w="5103" w:type="dxa"/>
            <w:vAlign w:val="center"/>
          </w:tcPr>
          <w:p>
            <w:pPr>
              <w:rPr>
                <w:rFonts w:hint="eastAsia" w:ascii="Times New Roman" w:hAnsi="Times New Roman"/>
                <w:szCs w:val="21"/>
              </w:rPr>
            </w:pPr>
            <w:r>
              <w:rPr>
                <w:rFonts w:hint="eastAsia" w:ascii="Times New Roman" w:hAnsi="Times New Roman"/>
                <w:szCs w:val="21"/>
              </w:rPr>
              <w:t>1、各院系专业建设发展规划</w:t>
            </w:r>
            <w:r>
              <w:rPr>
                <w:rFonts w:hAnsi="宋体"/>
                <w:szCs w:val="21"/>
              </w:rPr>
              <w:t>（</w:t>
            </w:r>
            <w:r>
              <w:rPr>
                <w:szCs w:val="21"/>
              </w:rPr>
              <w:t>“</w:t>
            </w:r>
            <w:r>
              <w:rPr>
                <w:rFonts w:hAnsi="宋体"/>
                <w:szCs w:val="21"/>
              </w:rPr>
              <w:t>十二五</w:t>
            </w:r>
            <w:r>
              <w:rPr>
                <w:szCs w:val="21"/>
              </w:rPr>
              <w:t xml:space="preserve">” </w:t>
            </w:r>
            <w:r>
              <w:rPr>
                <w:rFonts w:hAnsi="宋体"/>
                <w:szCs w:val="21"/>
              </w:rPr>
              <w:t>、</w:t>
            </w:r>
            <w:r>
              <w:rPr>
                <w:szCs w:val="21"/>
              </w:rPr>
              <w:t>“</w:t>
            </w:r>
            <w:r>
              <w:rPr>
                <w:rFonts w:hAnsi="宋体"/>
                <w:szCs w:val="21"/>
              </w:rPr>
              <w:t>十三五</w:t>
            </w:r>
            <w:r>
              <w:rPr>
                <w:szCs w:val="21"/>
              </w:rPr>
              <w:t>”</w:t>
            </w:r>
            <w:r>
              <w:rPr>
                <w:rFonts w:hAnsi="宋体"/>
                <w:szCs w:val="21"/>
              </w:rPr>
              <w:t>）</w:t>
            </w:r>
            <w:r>
              <w:rPr>
                <w:rFonts w:hint="eastAsia" w:ascii="Times New Roman" w:hAnsi="Times New Roman"/>
                <w:szCs w:val="21"/>
              </w:rPr>
              <w:t xml:space="preserve">； </w:t>
            </w:r>
          </w:p>
          <w:p>
            <w:pPr>
              <w:rPr>
                <w:rFonts w:hint="eastAsia" w:ascii="Times New Roman" w:hAnsi="Times New Roman"/>
                <w:szCs w:val="21"/>
              </w:rPr>
            </w:pPr>
            <w:r>
              <w:rPr>
                <w:rFonts w:hint="eastAsia" w:ascii="Times New Roman" w:hAnsi="Times New Roman"/>
                <w:szCs w:val="21"/>
              </w:rPr>
              <w:t>2、《</w:t>
            </w:r>
            <w:r>
              <w:rPr>
                <w:rFonts w:ascii="Times New Roman" w:hAnsi="Times New Roman"/>
                <w:szCs w:val="21"/>
              </w:rPr>
              <w:t>学院大学生创新创业教育改革实施方案</w:t>
            </w:r>
            <w:r>
              <w:rPr>
                <w:rFonts w:hint="eastAsia" w:ascii="Times New Roman" w:hAnsi="Times New Roman"/>
                <w:szCs w:val="21"/>
              </w:rPr>
              <w:t>》；</w:t>
            </w:r>
          </w:p>
          <w:p>
            <w:pPr>
              <w:rPr>
                <w:rFonts w:hint="eastAsia" w:ascii="Times New Roman" w:hAnsi="Times New Roman"/>
                <w:szCs w:val="21"/>
              </w:rPr>
            </w:pPr>
            <w:r>
              <w:rPr>
                <w:rFonts w:hint="eastAsia" w:ascii="Times New Roman" w:hAnsi="Times New Roman"/>
                <w:szCs w:val="21"/>
              </w:rPr>
              <w:t>3、近三年各专业人才培养方案；</w:t>
            </w:r>
          </w:p>
          <w:p>
            <w:pPr>
              <w:rPr>
                <w:rFonts w:hint="eastAsia" w:ascii="Times New Roman" w:hAnsi="Times New Roman"/>
                <w:szCs w:val="21"/>
              </w:rPr>
            </w:pPr>
            <w:r>
              <w:rPr>
                <w:rFonts w:hint="eastAsia" w:ascii="Times New Roman" w:hAnsi="Times New Roman"/>
                <w:szCs w:val="21"/>
              </w:rPr>
              <w:t>4、近三年各专业人才调研报告；</w:t>
            </w:r>
          </w:p>
          <w:p>
            <w:pPr>
              <w:rPr>
                <w:rFonts w:ascii="Times New Roman" w:hAnsi="Times New Roman"/>
                <w:szCs w:val="21"/>
              </w:rPr>
            </w:pPr>
            <w:r>
              <w:rPr>
                <w:rFonts w:hint="eastAsia" w:ascii="Times New Roman" w:hAnsi="Times New Roman"/>
                <w:szCs w:val="21"/>
              </w:rPr>
              <w:t>5、各专业剖析报告。</w:t>
            </w:r>
          </w:p>
        </w:tc>
        <w:tc>
          <w:tcPr>
            <w:tcW w:w="1096" w:type="dxa"/>
            <w:vAlign w:val="center"/>
          </w:tcPr>
          <w:p>
            <w:pPr>
              <w:jc w:val="center"/>
              <w:rPr>
                <w:rFonts w:hint="eastAsia" w:ascii="Times New Roman" w:hAnsi="Times New Roman"/>
                <w:szCs w:val="21"/>
              </w:rPr>
            </w:pPr>
            <w:r>
              <w:rPr>
                <w:rFonts w:hint="eastAsia" w:hAnsi="宋体"/>
                <w:szCs w:val="21"/>
              </w:rPr>
              <w:t>教务处</w:t>
            </w:r>
          </w:p>
        </w:tc>
        <w:tc>
          <w:tcPr>
            <w:tcW w:w="1388" w:type="dxa"/>
            <w:vAlign w:val="center"/>
          </w:tcPr>
          <w:p>
            <w:pPr>
              <w:jc w:val="center"/>
              <w:rPr>
                <w:rFonts w:hint="eastAsia" w:hAnsi="宋体"/>
                <w:szCs w:val="21"/>
              </w:rPr>
            </w:pPr>
            <w:r>
              <w:rPr>
                <w:rFonts w:hint="eastAsia" w:hAnsi="宋体"/>
                <w:szCs w:val="21"/>
              </w:rPr>
              <w:t>各院系</w:t>
            </w:r>
          </w:p>
          <w:p>
            <w:pPr>
              <w:jc w:val="center"/>
              <w:rPr>
                <w:rFonts w:hint="eastAsia" w:hAnsi="宋体"/>
                <w:szCs w:val="21"/>
              </w:rPr>
            </w:pPr>
            <w:r>
              <w:rPr>
                <w:rFonts w:hint="eastAsia" w:hAnsi="宋体"/>
                <w:szCs w:val="21"/>
              </w:rPr>
              <w:t>招就处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94" w:hRule="atLeast"/>
          <w:jc w:val="center"/>
        </w:trPr>
        <w:tc>
          <w:tcPr>
            <w:tcW w:w="1004" w:type="dxa"/>
            <w:vMerge w:val="continue"/>
            <w:shd w:val="clear" w:color="auto" w:fill="auto"/>
            <w:vAlign w:val="center"/>
          </w:tcPr>
          <w:p>
            <w:pPr>
              <w:jc w:val="center"/>
              <w:rPr>
                <w:rFonts w:ascii="Times New Roman" w:hAnsi="Times New Roman"/>
                <w:szCs w:val="21"/>
              </w:rPr>
            </w:pPr>
          </w:p>
        </w:tc>
        <w:tc>
          <w:tcPr>
            <w:tcW w:w="724" w:type="dxa"/>
            <w:vMerge w:val="continue"/>
            <w:shd w:val="clear" w:color="auto" w:fill="auto"/>
            <w:vAlign w:val="center"/>
          </w:tcPr>
          <w:p>
            <w:pPr>
              <w:jc w:val="center"/>
              <w:rPr>
                <w:rFonts w:ascii="Times New Roman" w:hAnsi="Times New Roman"/>
                <w:szCs w:val="21"/>
              </w:rPr>
            </w:pPr>
          </w:p>
        </w:tc>
        <w:tc>
          <w:tcPr>
            <w:tcW w:w="897" w:type="dxa"/>
            <w:shd w:val="clear" w:color="auto" w:fill="auto"/>
            <w:vAlign w:val="center"/>
          </w:tcPr>
          <w:p>
            <w:pPr>
              <w:jc w:val="center"/>
              <w:rPr>
                <w:rFonts w:ascii="Times New Roman" w:hAnsi="Times New Roman"/>
                <w:szCs w:val="21"/>
              </w:rPr>
            </w:pPr>
            <w:r>
              <w:rPr>
                <w:rFonts w:ascii="Times New Roman" w:hAnsi="宋体"/>
                <w:szCs w:val="21"/>
              </w:rPr>
              <w:t>条件保障</w:t>
            </w:r>
          </w:p>
        </w:tc>
        <w:tc>
          <w:tcPr>
            <w:tcW w:w="4650" w:type="dxa"/>
            <w:shd w:val="clear" w:color="auto" w:fill="auto"/>
            <w:vAlign w:val="center"/>
          </w:tcPr>
          <w:p>
            <w:pPr>
              <w:rPr>
                <w:rFonts w:ascii="Times New Roman" w:hAnsi="Times New Roman"/>
                <w:szCs w:val="21"/>
              </w:rPr>
            </w:pPr>
            <w:r>
              <w:rPr>
                <w:rFonts w:ascii="Times New Roman" w:hAnsi="Times New Roman"/>
                <w:szCs w:val="21"/>
              </w:rPr>
              <w:fldChar w:fldCharType="begin"/>
            </w:r>
            <w:r>
              <w:rPr>
                <w:rFonts w:ascii="Times New Roman" w:hAnsi="Times New Roman"/>
                <w:szCs w:val="21"/>
              </w:rPr>
              <w:instrText xml:space="preserve"> = 1 \* GB3 </w:instrText>
            </w:r>
            <w:r>
              <w:rPr>
                <w:rFonts w:ascii="Times New Roman" w:hAnsi="Times New Roman"/>
                <w:szCs w:val="21"/>
              </w:rPr>
              <w:fldChar w:fldCharType="separate"/>
            </w:r>
            <w:r>
              <w:rPr>
                <w:rFonts w:ascii="宋体" w:hAnsi="宋体"/>
                <w:szCs w:val="21"/>
              </w:rPr>
              <w:t>①</w:t>
            </w:r>
            <w:r>
              <w:rPr>
                <w:rFonts w:ascii="Times New Roman" w:hAnsi="Times New Roman"/>
                <w:szCs w:val="21"/>
              </w:rPr>
              <w:fldChar w:fldCharType="end"/>
            </w:r>
            <w:r>
              <w:rPr>
                <w:rFonts w:ascii="Times New Roman" w:hAnsi="宋体"/>
                <w:szCs w:val="21"/>
              </w:rPr>
              <w:t>专业设置程序规范，所设专业进行了充分的市场需求调研，专业设置前形成有《专业人才需求分析和预测调研报告》和《专业设置的必要性和可行性分析报告》；</w:t>
            </w:r>
          </w:p>
          <w:p>
            <w:pPr>
              <w:rPr>
                <w:rFonts w:ascii="Times New Roman" w:hAnsi="Times New Roman"/>
                <w:szCs w:val="21"/>
              </w:rPr>
            </w:pPr>
            <w:r>
              <w:rPr>
                <w:rFonts w:ascii="Times New Roman" w:hAnsi="Times New Roman"/>
                <w:szCs w:val="21"/>
              </w:rPr>
              <w:fldChar w:fldCharType="begin"/>
            </w:r>
            <w:r>
              <w:rPr>
                <w:rFonts w:ascii="Times New Roman" w:hAnsi="Times New Roman"/>
                <w:szCs w:val="21"/>
              </w:rPr>
              <w:instrText xml:space="preserve"> = 2 \* GB3 </w:instrText>
            </w:r>
            <w:r>
              <w:rPr>
                <w:rFonts w:ascii="Times New Roman" w:hAnsi="Times New Roman"/>
                <w:szCs w:val="21"/>
              </w:rPr>
              <w:fldChar w:fldCharType="separate"/>
            </w:r>
            <w:r>
              <w:rPr>
                <w:rFonts w:ascii="宋体" w:hAnsi="宋体"/>
                <w:szCs w:val="21"/>
              </w:rPr>
              <w:t>②</w:t>
            </w:r>
            <w:r>
              <w:rPr>
                <w:rFonts w:ascii="Times New Roman" w:hAnsi="Times New Roman"/>
                <w:szCs w:val="21"/>
              </w:rPr>
              <w:fldChar w:fldCharType="end"/>
            </w:r>
            <w:r>
              <w:rPr>
                <w:rFonts w:ascii="Times New Roman" w:hAnsi="宋体"/>
                <w:szCs w:val="21"/>
              </w:rPr>
              <w:t>专业建设条件（经费、师资、实验实训条件）有明确的保障措施。</w:t>
            </w:r>
          </w:p>
        </w:tc>
        <w:tc>
          <w:tcPr>
            <w:tcW w:w="5103" w:type="dxa"/>
            <w:vAlign w:val="center"/>
          </w:tcPr>
          <w:p>
            <w:pPr>
              <w:rPr>
                <w:rFonts w:hint="eastAsia" w:ascii="Times New Roman" w:hAnsi="Times New Roman"/>
                <w:szCs w:val="21"/>
              </w:rPr>
            </w:pPr>
            <w:r>
              <w:rPr>
                <w:rFonts w:hint="eastAsia" w:ascii="Times New Roman" w:hAnsi="Times New Roman"/>
                <w:szCs w:val="21"/>
              </w:rPr>
              <w:t>1、学院专业设置一览表；</w:t>
            </w:r>
          </w:p>
          <w:p>
            <w:pPr>
              <w:rPr>
                <w:rFonts w:hint="eastAsia" w:ascii="Times New Roman" w:hAnsi="宋体"/>
                <w:szCs w:val="21"/>
              </w:rPr>
            </w:pPr>
            <w:r>
              <w:rPr>
                <w:rFonts w:hint="eastAsia" w:ascii="Times New Roman" w:hAnsi="宋体"/>
                <w:szCs w:val="21"/>
              </w:rPr>
              <w:t>2、</w:t>
            </w:r>
            <w:r>
              <w:rPr>
                <w:rFonts w:ascii="Times New Roman" w:hAnsi="宋体"/>
                <w:szCs w:val="21"/>
              </w:rPr>
              <w:t>《专业人才需求分析和预测调研报告》</w:t>
            </w:r>
            <w:r>
              <w:rPr>
                <w:rFonts w:hint="eastAsia" w:ascii="Times New Roman" w:hAnsi="宋体"/>
                <w:szCs w:val="21"/>
              </w:rPr>
              <w:t>；</w:t>
            </w:r>
          </w:p>
          <w:p>
            <w:pPr>
              <w:rPr>
                <w:rFonts w:hint="eastAsia" w:ascii="Times New Roman" w:hAnsi="Times New Roman"/>
                <w:szCs w:val="21"/>
              </w:rPr>
            </w:pPr>
            <w:r>
              <w:rPr>
                <w:rFonts w:hint="eastAsia" w:ascii="Times New Roman" w:hAnsi="宋体"/>
                <w:szCs w:val="21"/>
              </w:rPr>
              <w:t>3、</w:t>
            </w:r>
            <w:r>
              <w:rPr>
                <w:rFonts w:ascii="Times New Roman" w:hAnsi="宋体"/>
                <w:szCs w:val="21"/>
              </w:rPr>
              <w:t>《专业设置的必要性和可行性分析报告》</w:t>
            </w:r>
            <w:r>
              <w:rPr>
                <w:rFonts w:hint="eastAsia" w:ascii="Times New Roman" w:hAnsi="Times New Roman"/>
                <w:szCs w:val="21"/>
              </w:rPr>
              <w:t xml:space="preserve">； </w:t>
            </w:r>
          </w:p>
          <w:p>
            <w:pPr>
              <w:rPr>
                <w:rFonts w:ascii="Times New Roman" w:hAnsi="Times New Roman"/>
                <w:szCs w:val="21"/>
              </w:rPr>
            </w:pPr>
            <w:r>
              <w:rPr>
                <w:rFonts w:hint="eastAsia" w:ascii="Times New Roman" w:hAnsi="Times New Roman"/>
                <w:szCs w:val="21"/>
              </w:rPr>
              <w:t>4、近三年新专业的申报材料，应包括</w:t>
            </w:r>
            <w:r>
              <w:rPr>
                <w:rFonts w:ascii="Times New Roman" w:hAnsi="宋体"/>
                <w:szCs w:val="21"/>
              </w:rPr>
              <w:t>专业建设条件（经费</w:t>
            </w:r>
            <w:r>
              <w:rPr>
                <w:rFonts w:hint="eastAsia" w:ascii="Times New Roman" w:hAnsi="宋体"/>
                <w:szCs w:val="21"/>
              </w:rPr>
              <w:t>投入</w:t>
            </w:r>
            <w:r>
              <w:rPr>
                <w:rFonts w:ascii="Times New Roman" w:hAnsi="宋体"/>
                <w:szCs w:val="21"/>
              </w:rPr>
              <w:t>、师资、实验实训条件）</w:t>
            </w:r>
            <w:r>
              <w:rPr>
                <w:rFonts w:hint="eastAsia" w:ascii="Times New Roman" w:hAnsi="宋体"/>
                <w:szCs w:val="21"/>
              </w:rPr>
              <w:t>情况及保障措施。</w:t>
            </w:r>
          </w:p>
        </w:tc>
        <w:tc>
          <w:tcPr>
            <w:tcW w:w="1096" w:type="dxa"/>
            <w:vAlign w:val="center"/>
          </w:tcPr>
          <w:p>
            <w:pPr>
              <w:jc w:val="center"/>
              <w:rPr>
                <w:rFonts w:hint="eastAsia" w:ascii="Times New Roman" w:hAnsi="Times New Roman"/>
                <w:szCs w:val="21"/>
              </w:rPr>
            </w:pPr>
            <w:r>
              <w:rPr>
                <w:rFonts w:hint="eastAsia" w:hAnsi="宋体"/>
                <w:szCs w:val="21"/>
              </w:rPr>
              <w:t>教务处</w:t>
            </w:r>
          </w:p>
        </w:tc>
        <w:tc>
          <w:tcPr>
            <w:tcW w:w="1388" w:type="dxa"/>
            <w:vAlign w:val="center"/>
          </w:tcPr>
          <w:p>
            <w:pPr>
              <w:jc w:val="center"/>
              <w:rPr>
                <w:rFonts w:hint="eastAsia" w:hAnsi="宋体"/>
                <w:szCs w:val="21"/>
              </w:rPr>
            </w:pPr>
            <w:r>
              <w:rPr>
                <w:rFonts w:hint="eastAsia" w:hAnsi="宋体"/>
                <w:szCs w:val="21"/>
              </w:rPr>
              <w:t>教务处</w:t>
            </w:r>
          </w:p>
          <w:p>
            <w:pPr>
              <w:jc w:val="center"/>
              <w:rPr>
                <w:rFonts w:hint="eastAsia" w:hAnsi="宋体"/>
                <w:szCs w:val="21"/>
              </w:rPr>
            </w:pPr>
            <w:r>
              <w:rPr>
                <w:rFonts w:hint="eastAsia" w:hAnsi="宋体"/>
                <w:szCs w:val="21"/>
              </w:rPr>
              <w:t>各院系</w:t>
            </w:r>
          </w:p>
          <w:p>
            <w:pPr>
              <w:jc w:val="center"/>
              <w:rPr>
                <w:rFonts w:hint="eastAsia" w:hAnsi="宋体"/>
                <w:szCs w:val="21"/>
              </w:rPr>
            </w:pPr>
            <w:r>
              <w:rPr>
                <w:rFonts w:hint="eastAsia" w:hAnsi="宋体"/>
                <w:szCs w:val="21"/>
              </w:rPr>
              <w:t>人事处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7" w:hRule="atLeast"/>
          <w:jc w:val="center"/>
        </w:trPr>
        <w:tc>
          <w:tcPr>
            <w:tcW w:w="1004" w:type="dxa"/>
            <w:vMerge w:val="continue"/>
            <w:shd w:val="clear" w:color="auto" w:fill="auto"/>
            <w:vAlign w:val="center"/>
          </w:tcPr>
          <w:p>
            <w:pPr>
              <w:jc w:val="center"/>
              <w:rPr>
                <w:rFonts w:ascii="Times New Roman" w:hAnsi="Times New Roman"/>
                <w:szCs w:val="21"/>
              </w:rPr>
            </w:pPr>
          </w:p>
        </w:tc>
        <w:tc>
          <w:tcPr>
            <w:tcW w:w="724" w:type="dxa"/>
            <w:vMerge w:val="restart"/>
            <w:shd w:val="clear" w:color="auto" w:fill="auto"/>
            <w:vAlign w:val="center"/>
          </w:tcPr>
          <w:p>
            <w:pPr>
              <w:jc w:val="center"/>
              <w:rPr>
                <w:rFonts w:ascii="Times New Roman" w:hAnsi="Times New Roman"/>
                <w:szCs w:val="21"/>
              </w:rPr>
            </w:pPr>
            <w:r>
              <w:rPr>
                <w:rFonts w:ascii="Times New Roman" w:hAnsi="Times New Roman"/>
                <w:szCs w:val="21"/>
              </w:rPr>
              <w:t>2.2</w:t>
            </w:r>
            <w:r>
              <w:rPr>
                <w:rFonts w:ascii="Times New Roman" w:hAnsi="宋体"/>
                <w:szCs w:val="21"/>
              </w:rPr>
              <w:t>专业诊改</w:t>
            </w:r>
          </w:p>
        </w:tc>
        <w:tc>
          <w:tcPr>
            <w:tcW w:w="897" w:type="dxa"/>
            <w:shd w:val="clear" w:color="auto" w:fill="auto"/>
            <w:vAlign w:val="center"/>
          </w:tcPr>
          <w:p>
            <w:pPr>
              <w:jc w:val="center"/>
              <w:rPr>
                <w:rFonts w:ascii="Times New Roman" w:hAnsi="Times New Roman"/>
                <w:szCs w:val="21"/>
              </w:rPr>
            </w:pPr>
            <w:r>
              <w:rPr>
                <w:rFonts w:ascii="Times New Roman" w:hAnsi="宋体"/>
                <w:szCs w:val="21"/>
              </w:rPr>
              <w:t>诊改制度与运行</w:t>
            </w:r>
          </w:p>
        </w:tc>
        <w:tc>
          <w:tcPr>
            <w:tcW w:w="4650" w:type="dxa"/>
            <w:shd w:val="clear" w:color="auto" w:fill="auto"/>
            <w:vAlign w:val="center"/>
          </w:tcPr>
          <w:p>
            <w:pPr>
              <w:rPr>
                <w:rFonts w:ascii="Times New Roman" w:hAnsi="Times New Roman"/>
                <w:szCs w:val="21"/>
              </w:rPr>
            </w:pPr>
            <w:r>
              <w:rPr>
                <w:rFonts w:ascii="Times New Roman" w:hAnsi="Times New Roman"/>
                <w:szCs w:val="21"/>
              </w:rPr>
              <w:fldChar w:fldCharType="begin"/>
            </w:r>
            <w:r>
              <w:rPr>
                <w:rFonts w:ascii="Times New Roman" w:hAnsi="Times New Roman"/>
                <w:szCs w:val="21"/>
              </w:rPr>
              <w:instrText xml:space="preserve"> = 1 \* GB3 </w:instrText>
            </w:r>
            <w:r>
              <w:rPr>
                <w:rFonts w:ascii="Times New Roman" w:hAnsi="Times New Roman"/>
                <w:szCs w:val="21"/>
              </w:rPr>
              <w:fldChar w:fldCharType="separate"/>
            </w:r>
            <w:r>
              <w:rPr>
                <w:rFonts w:ascii="宋体" w:hAnsi="宋体"/>
                <w:szCs w:val="21"/>
              </w:rPr>
              <w:t>①</w:t>
            </w:r>
            <w:r>
              <w:rPr>
                <w:rFonts w:ascii="Times New Roman" w:hAnsi="Times New Roman"/>
                <w:szCs w:val="21"/>
              </w:rPr>
              <w:fldChar w:fldCharType="end"/>
            </w:r>
            <w:r>
              <w:rPr>
                <w:rFonts w:ascii="Times New Roman" w:hAnsi="宋体"/>
                <w:szCs w:val="21"/>
              </w:rPr>
              <w:t>联合行业企业，以行业企业用人标准为依据，设计专业诊断标准，建立学校内部常态化的专业诊改机制；</w:t>
            </w:r>
          </w:p>
          <w:p>
            <w:pPr>
              <w:rPr>
                <w:rFonts w:ascii="Times New Roman" w:hAnsi="Times New Roman"/>
                <w:szCs w:val="21"/>
              </w:rPr>
            </w:pPr>
            <w:r>
              <w:rPr>
                <w:rFonts w:ascii="Times New Roman" w:hAnsi="Times New Roman"/>
                <w:szCs w:val="21"/>
              </w:rPr>
              <w:fldChar w:fldCharType="begin"/>
            </w:r>
            <w:r>
              <w:rPr>
                <w:rFonts w:ascii="Times New Roman" w:hAnsi="Times New Roman"/>
                <w:szCs w:val="21"/>
              </w:rPr>
              <w:instrText xml:space="preserve"> = 2 \* GB3 </w:instrText>
            </w:r>
            <w:r>
              <w:rPr>
                <w:rFonts w:ascii="Times New Roman" w:hAnsi="Times New Roman"/>
                <w:szCs w:val="21"/>
              </w:rPr>
              <w:fldChar w:fldCharType="separate"/>
            </w:r>
            <w:r>
              <w:rPr>
                <w:rFonts w:ascii="宋体" w:hAnsi="宋体"/>
                <w:szCs w:val="21"/>
              </w:rPr>
              <w:t>②</w:t>
            </w:r>
            <w:r>
              <w:rPr>
                <w:rFonts w:ascii="Times New Roman" w:hAnsi="Times New Roman"/>
                <w:szCs w:val="21"/>
              </w:rPr>
              <w:fldChar w:fldCharType="end"/>
            </w:r>
            <w:r>
              <w:rPr>
                <w:rFonts w:ascii="Times New Roman" w:hAnsi="宋体"/>
                <w:kern w:val="0"/>
                <w:szCs w:val="21"/>
              </w:rPr>
              <w:t>按照教育与产业、学校与企业、专业设置与职业岗位相对接的原则，将诊改工作作为专业动态调整的重要依据，形成专业动态调整机制。</w:t>
            </w:r>
          </w:p>
        </w:tc>
        <w:tc>
          <w:tcPr>
            <w:tcW w:w="5103" w:type="dxa"/>
            <w:vAlign w:val="center"/>
          </w:tcPr>
          <w:p>
            <w:pPr>
              <w:rPr>
                <w:rFonts w:hint="eastAsia" w:ascii="Times New Roman" w:hAnsi="Times New Roman"/>
                <w:szCs w:val="21"/>
              </w:rPr>
            </w:pPr>
            <w:r>
              <w:rPr>
                <w:rFonts w:hint="eastAsia" w:ascii="Times New Roman" w:hAnsi="Times New Roman"/>
                <w:szCs w:val="21"/>
              </w:rPr>
              <w:t xml:space="preserve">1、有关《行业企业用人标准》的调研总结材料； </w:t>
            </w:r>
          </w:p>
          <w:p>
            <w:pPr>
              <w:rPr>
                <w:rFonts w:hint="eastAsia" w:ascii="Times New Roman" w:hAnsi="Times New Roman"/>
                <w:szCs w:val="21"/>
              </w:rPr>
            </w:pPr>
            <w:r>
              <w:rPr>
                <w:rFonts w:hint="eastAsia" w:ascii="Times New Roman" w:hAnsi="Times New Roman"/>
                <w:szCs w:val="21"/>
              </w:rPr>
              <w:t>2、各院系召开专业建设指导委员会对专业人才培养方案的审定的过程性材料；</w:t>
            </w:r>
          </w:p>
          <w:p>
            <w:pPr>
              <w:rPr>
                <w:rFonts w:ascii="Times New Roman" w:hAnsi="Times New Roman"/>
                <w:szCs w:val="21"/>
              </w:rPr>
            </w:pPr>
            <w:r>
              <w:rPr>
                <w:rFonts w:hint="eastAsia" w:ascii="Times New Roman" w:hAnsi="Times New Roman"/>
                <w:szCs w:val="21"/>
              </w:rPr>
              <w:t>3、校企合作共同《</w:t>
            </w:r>
            <w:r>
              <w:rPr>
                <w:rFonts w:ascii="Times New Roman" w:hAnsi="宋体"/>
                <w:szCs w:val="21"/>
              </w:rPr>
              <w:t>设计专业诊断标准</w:t>
            </w:r>
            <w:r>
              <w:rPr>
                <w:rFonts w:hint="eastAsia" w:ascii="Times New Roman" w:hAnsi="宋体"/>
                <w:szCs w:val="21"/>
              </w:rPr>
              <w:t>》（初稿）。</w:t>
            </w:r>
          </w:p>
        </w:tc>
        <w:tc>
          <w:tcPr>
            <w:tcW w:w="1096" w:type="dxa"/>
            <w:vAlign w:val="center"/>
          </w:tcPr>
          <w:p>
            <w:pPr>
              <w:jc w:val="center"/>
              <w:rPr>
                <w:rFonts w:hint="eastAsia" w:ascii="Times New Roman" w:hAnsi="Times New Roman"/>
                <w:szCs w:val="21"/>
              </w:rPr>
            </w:pPr>
            <w:r>
              <w:rPr>
                <w:rFonts w:hint="eastAsia" w:hAnsi="宋体"/>
                <w:szCs w:val="21"/>
              </w:rPr>
              <w:t>质控中心</w:t>
            </w:r>
          </w:p>
        </w:tc>
        <w:tc>
          <w:tcPr>
            <w:tcW w:w="1388" w:type="dxa"/>
            <w:vAlign w:val="center"/>
          </w:tcPr>
          <w:p>
            <w:pPr>
              <w:jc w:val="center"/>
              <w:rPr>
                <w:rFonts w:hint="eastAsia" w:hAnsi="宋体"/>
                <w:szCs w:val="21"/>
              </w:rPr>
            </w:pPr>
            <w:r>
              <w:rPr>
                <w:rFonts w:hint="eastAsia" w:hAnsi="宋体"/>
                <w:szCs w:val="21"/>
              </w:rPr>
              <w:t>招就处</w:t>
            </w:r>
          </w:p>
          <w:p>
            <w:pPr>
              <w:jc w:val="center"/>
              <w:rPr>
                <w:rFonts w:hint="eastAsia" w:hAnsi="宋体"/>
                <w:szCs w:val="21"/>
              </w:rPr>
            </w:pPr>
            <w:r>
              <w:rPr>
                <w:rFonts w:hint="eastAsia" w:hAnsi="宋体"/>
                <w:szCs w:val="21"/>
              </w:rPr>
              <w:t>各院系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52" w:hRule="atLeast"/>
          <w:jc w:val="center"/>
        </w:trPr>
        <w:tc>
          <w:tcPr>
            <w:tcW w:w="1004" w:type="dxa"/>
            <w:vMerge w:val="continue"/>
            <w:shd w:val="clear" w:color="auto" w:fill="auto"/>
            <w:vAlign w:val="center"/>
          </w:tcPr>
          <w:p>
            <w:pPr>
              <w:jc w:val="center"/>
              <w:rPr>
                <w:rFonts w:ascii="Times New Roman" w:hAnsi="Times New Roman"/>
                <w:szCs w:val="21"/>
              </w:rPr>
            </w:pPr>
          </w:p>
        </w:tc>
        <w:tc>
          <w:tcPr>
            <w:tcW w:w="724" w:type="dxa"/>
            <w:vMerge w:val="continue"/>
            <w:shd w:val="clear" w:color="auto" w:fill="auto"/>
            <w:vAlign w:val="center"/>
          </w:tcPr>
          <w:p>
            <w:pPr>
              <w:jc w:val="center"/>
              <w:rPr>
                <w:rFonts w:ascii="Times New Roman" w:hAnsi="Times New Roman"/>
                <w:szCs w:val="21"/>
              </w:rPr>
            </w:pPr>
          </w:p>
        </w:tc>
        <w:tc>
          <w:tcPr>
            <w:tcW w:w="897" w:type="dxa"/>
            <w:shd w:val="clear" w:color="auto" w:fill="auto"/>
            <w:vAlign w:val="center"/>
          </w:tcPr>
          <w:p>
            <w:pPr>
              <w:jc w:val="center"/>
              <w:rPr>
                <w:rFonts w:ascii="Times New Roman" w:hAnsi="Times New Roman"/>
                <w:szCs w:val="21"/>
              </w:rPr>
            </w:pPr>
            <w:r>
              <w:rPr>
                <w:rFonts w:ascii="Times New Roman" w:hAnsi="宋体"/>
                <w:szCs w:val="21"/>
              </w:rPr>
              <w:t>诊改效果</w:t>
            </w:r>
          </w:p>
        </w:tc>
        <w:tc>
          <w:tcPr>
            <w:tcW w:w="4650" w:type="dxa"/>
            <w:shd w:val="clear" w:color="auto" w:fill="auto"/>
            <w:vAlign w:val="center"/>
          </w:tcPr>
          <w:p>
            <w:pPr>
              <w:rPr>
                <w:rFonts w:ascii="Times New Roman" w:hAnsi="Times New Roman"/>
                <w:szCs w:val="21"/>
              </w:rPr>
            </w:pPr>
            <w:r>
              <w:rPr>
                <w:rFonts w:ascii="Times New Roman" w:hAnsi="Times New Roman"/>
                <w:szCs w:val="21"/>
              </w:rPr>
              <w:fldChar w:fldCharType="begin"/>
            </w:r>
            <w:r>
              <w:rPr>
                <w:rFonts w:ascii="Times New Roman" w:hAnsi="Times New Roman"/>
                <w:szCs w:val="21"/>
              </w:rPr>
              <w:instrText xml:space="preserve"> = 1 \* GB3 </w:instrText>
            </w:r>
            <w:r>
              <w:rPr>
                <w:rFonts w:ascii="Times New Roman" w:hAnsi="Times New Roman"/>
                <w:szCs w:val="21"/>
              </w:rPr>
              <w:fldChar w:fldCharType="separate"/>
            </w:r>
            <w:r>
              <w:rPr>
                <w:rFonts w:ascii="宋体" w:hAnsi="宋体"/>
                <w:szCs w:val="21"/>
              </w:rPr>
              <w:t>①</w:t>
            </w:r>
            <w:r>
              <w:rPr>
                <w:rFonts w:ascii="Times New Roman" w:hAnsi="Times New Roman"/>
                <w:szCs w:val="21"/>
              </w:rPr>
              <w:fldChar w:fldCharType="end"/>
            </w:r>
            <w:r>
              <w:rPr>
                <w:rFonts w:ascii="Times New Roman" w:hAnsi="宋体"/>
                <w:szCs w:val="21"/>
              </w:rPr>
              <w:t>专业诊改工作富有成效，诊改工作成为提升人才培养质量的重要推手；</w:t>
            </w:r>
          </w:p>
          <w:p>
            <w:pPr>
              <w:rPr>
                <w:rFonts w:ascii="Times New Roman" w:hAnsi="Times New Roman"/>
                <w:szCs w:val="21"/>
              </w:rPr>
            </w:pPr>
            <w:r>
              <w:rPr>
                <w:rFonts w:ascii="Times New Roman" w:hAnsi="Times New Roman"/>
                <w:szCs w:val="21"/>
              </w:rPr>
              <w:fldChar w:fldCharType="begin"/>
            </w:r>
            <w:r>
              <w:rPr>
                <w:rFonts w:ascii="Times New Roman" w:hAnsi="Times New Roman"/>
                <w:szCs w:val="21"/>
              </w:rPr>
              <w:instrText xml:space="preserve"> = 2 \* GB3 </w:instrText>
            </w:r>
            <w:r>
              <w:rPr>
                <w:rFonts w:ascii="Times New Roman" w:hAnsi="Times New Roman"/>
                <w:szCs w:val="21"/>
              </w:rPr>
              <w:fldChar w:fldCharType="separate"/>
            </w:r>
            <w:r>
              <w:rPr>
                <w:rFonts w:ascii="宋体" w:hAnsi="宋体"/>
                <w:szCs w:val="21"/>
              </w:rPr>
              <w:t>②</w:t>
            </w:r>
            <w:r>
              <w:rPr>
                <w:rFonts w:ascii="Times New Roman" w:hAnsi="Times New Roman"/>
                <w:szCs w:val="21"/>
              </w:rPr>
              <w:fldChar w:fldCharType="end"/>
            </w:r>
            <w:r>
              <w:rPr>
                <w:rFonts w:ascii="Times New Roman" w:hAnsi="宋体"/>
                <w:szCs w:val="21"/>
              </w:rPr>
              <w:t>在专业诊改工作的推动下，校企融合程度进一步深入、专业服务社会能力进一步提升；</w:t>
            </w:r>
          </w:p>
          <w:p>
            <w:pPr>
              <w:rPr>
                <w:rFonts w:ascii="Times New Roman" w:hAnsi="Times New Roman"/>
                <w:szCs w:val="21"/>
              </w:rPr>
            </w:pPr>
            <w:r>
              <w:rPr>
                <w:rFonts w:ascii="Times New Roman" w:hAnsi="Times New Roman"/>
                <w:szCs w:val="21"/>
              </w:rPr>
              <w:fldChar w:fldCharType="begin"/>
            </w:r>
            <w:r>
              <w:rPr>
                <w:rFonts w:ascii="Times New Roman" w:hAnsi="Times New Roman"/>
                <w:szCs w:val="21"/>
              </w:rPr>
              <w:instrText xml:space="preserve"> = 3 \* GB3 </w:instrText>
            </w:r>
            <w:r>
              <w:rPr>
                <w:rFonts w:ascii="Times New Roman" w:hAnsi="Times New Roman"/>
                <w:szCs w:val="21"/>
              </w:rPr>
              <w:fldChar w:fldCharType="separate"/>
            </w:r>
            <w:r>
              <w:rPr>
                <w:rFonts w:ascii="宋体" w:hAnsi="宋体"/>
                <w:szCs w:val="21"/>
              </w:rPr>
              <w:t>③</w:t>
            </w:r>
            <w:r>
              <w:rPr>
                <w:rFonts w:ascii="Times New Roman" w:hAnsi="Times New Roman"/>
                <w:szCs w:val="21"/>
              </w:rPr>
              <w:fldChar w:fldCharType="end"/>
            </w:r>
            <w:r>
              <w:rPr>
                <w:rFonts w:ascii="Times New Roman" w:hAnsi="宋体"/>
                <w:kern w:val="0"/>
                <w:szCs w:val="21"/>
              </w:rPr>
              <w:t>建立了以重点（特色）专业为龙头、相关专业为支撑的专业群，重点专业辐射能力不断提升，为促进区域经济和行业、企业的发展发挥积极作用。</w:t>
            </w:r>
          </w:p>
        </w:tc>
        <w:tc>
          <w:tcPr>
            <w:tcW w:w="5103" w:type="dxa"/>
            <w:vAlign w:val="center"/>
          </w:tcPr>
          <w:p>
            <w:pPr>
              <w:rPr>
                <w:rFonts w:hint="eastAsia" w:ascii="Times New Roman" w:hAnsi="Times New Roman"/>
                <w:szCs w:val="21"/>
              </w:rPr>
            </w:pPr>
            <w:r>
              <w:rPr>
                <w:rFonts w:hint="eastAsia" w:ascii="Times New Roman" w:hAnsi="Times New Roman"/>
                <w:szCs w:val="21"/>
              </w:rPr>
              <w:t>1、学院质量工程建设项目汇总表；</w:t>
            </w:r>
          </w:p>
          <w:p>
            <w:pPr>
              <w:rPr>
                <w:rFonts w:hint="eastAsia" w:ascii="Times New Roman" w:hAnsi="Times New Roman"/>
                <w:szCs w:val="21"/>
              </w:rPr>
            </w:pPr>
            <w:r>
              <w:rPr>
                <w:rFonts w:hint="eastAsia" w:ascii="Times New Roman" w:hAnsi="Times New Roman"/>
                <w:szCs w:val="21"/>
              </w:rPr>
              <w:t>2、近三年申报省示范专业、生产性实训基地建设项目申报书、任务书及验收材料；</w:t>
            </w:r>
          </w:p>
          <w:p>
            <w:pPr>
              <w:rPr>
                <w:rFonts w:hint="eastAsia" w:ascii="Times New Roman" w:hAnsi="Times New Roman"/>
                <w:szCs w:val="21"/>
              </w:rPr>
            </w:pPr>
            <w:r>
              <w:rPr>
                <w:rFonts w:hint="eastAsia" w:ascii="Times New Roman" w:hAnsi="Times New Roman"/>
                <w:szCs w:val="21"/>
              </w:rPr>
              <w:t>3、学院专业质量评价情况一览表；</w:t>
            </w:r>
          </w:p>
          <w:p>
            <w:pPr>
              <w:rPr>
                <w:rFonts w:hint="eastAsia" w:ascii="Times New Roman" w:hAnsi="Times New Roman"/>
                <w:szCs w:val="21"/>
              </w:rPr>
            </w:pPr>
            <w:r>
              <w:rPr>
                <w:rFonts w:hint="eastAsia" w:ascii="Times New Roman" w:hAnsi="Times New Roman"/>
                <w:szCs w:val="21"/>
              </w:rPr>
              <w:t>4、校企合作典型材料（与中涵机合作、中德诺浩、华晶珠宝、安博教育集团合作的材料）；</w:t>
            </w:r>
          </w:p>
          <w:p>
            <w:pPr>
              <w:rPr>
                <w:rFonts w:hint="eastAsia" w:ascii="Times New Roman" w:hAnsi="Times New Roman"/>
                <w:szCs w:val="21"/>
              </w:rPr>
            </w:pPr>
            <w:r>
              <w:rPr>
                <w:rFonts w:hint="eastAsia" w:ascii="Times New Roman" w:hAnsi="Times New Roman"/>
                <w:szCs w:val="21"/>
              </w:rPr>
              <w:t>5、福建九点职教集团（上塘珠宝玉石学院）和莆湄医疗健康职教集团（普天医学院）材料；</w:t>
            </w:r>
          </w:p>
          <w:p>
            <w:pPr>
              <w:rPr>
                <w:rFonts w:hint="eastAsia" w:ascii="Times New Roman" w:hAnsi="Times New Roman"/>
                <w:szCs w:val="21"/>
              </w:rPr>
            </w:pPr>
            <w:r>
              <w:rPr>
                <w:rFonts w:hint="eastAsia" w:ascii="Times New Roman" w:hAnsi="Times New Roman"/>
                <w:szCs w:val="21"/>
              </w:rPr>
              <w:t>6、专业课教师社会服务情况及相关资料；</w:t>
            </w:r>
          </w:p>
          <w:p>
            <w:pPr>
              <w:rPr>
                <w:rFonts w:hint="eastAsia" w:ascii="Times New Roman" w:hAnsi="Times New Roman"/>
                <w:szCs w:val="21"/>
              </w:rPr>
            </w:pPr>
            <w:r>
              <w:rPr>
                <w:rFonts w:hint="eastAsia" w:ascii="Times New Roman" w:hAnsi="Times New Roman"/>
                <w:szCs w:val="21"/>
              </w:rPr>
              <w:t>7、专业教师在协会或学会任职佐证资料；</w:t>
            </w:r>
          </w:p>
          <w:p>
            <w:pPr>
              <w:rPr>
                <w:rFonts w:hint="eastAsia" w:ascii="Times New Roman" w:hAnsi="Times New Roman"/>
                <w:szCs w:val="21"/>
              </w:rPr>
            </w:pPr>
            <w:r>
              <w:rPr>
                <w:rFonts w:hint="eastAsia" w:ascii="Times New Roman" w:hAnsi="Times New Roman"/>
                <w:szCs w:val="21"/>
              </w:rPr>
              <w:t>8、分学年教师主持（或参与）在研横向技术开发课题汇总表；</w:t>
            </w:r>
          </w:p>
          <w:p>
            <w:pPr>
              <w:rPr>
                <w:rFonts w:hint="eastAsia" w:ascii="Times New Roman" w:hAnsi="Times New Roman"/>
                <w:szCs w:val="21"/>
              </w:rPr>
            </w:pPr>
            <w:r>
              <w:rPr>
                <w:rFonts w:hint="eastAsia" w:ascii="Times New Roman" w:hAnsi="Times New Roman"/>
                <w:szCs w:val="21"/>
              </w:rPr>
              <w:t>9、分学年专任教师为行业企业技术服务汇总统计表；</w:t>
            </w:r>
          </w:p>
          <w:p>
            <w:pPr>
              <w:rPr>
                <w:rFonts w:hint="eastAsia" w:ascii="Times New Roman" w:hAnsi="Times New Roman"/>
                <w:szCs w:val="21"/>
              </w:rPr>
            </w:pPr>
            <w:r>
              <w:rPr>
                <w:rFonts w:hint="eastAsia" w:ascii="Times New Roman" w:hAnsi="Times New Roman"/>
                <w:szCs w:val="21"/>
              </w:rPr>
              <w:t>10、《以机电一体化技术为引领的高端装备制造的专业群建设》申报材料；</w:t>
            </w:r>
          </w:p>
          <w:p>
            <w:pPr>
              <w:rPr>
                <w:rFonts w:hint="eastAsia" w:ascii="Times New Roman" w:hAnsi="Times New Roman"/>
                <w:szCs w:val="21"/>
              </w:rPr>
            </w:pPr>
            <w:r>
              <w:rPr>
                <w:rFonts w:hint="eastAsia" w:ascii="Times New Roman" w:hAnsi="Times New Roman"/>
                <w:szCs w:val="21"/>
              </w:rPr>
              <w:t>11、上塘学院工作汇报总结及相关媒体报道；</w:t>
            </w:r>
          </w:p>
          <w:p>
            <w:pPr>
              <w:rPr>
                <w:rFonts w:ascii="Times New Roman" w:hAnsi="Times New Roman"/>
                <w:szCs w:val="21"/>
              </w:rPr>
            </w:pPr>
            <w:r>
              <w:rPr>
                <w:rFonts w:hint="eastAsia" w:ascii="Times New Roman" w:hAnsi="Times New Roman"/>
                <w:szCs w:val="21"/>
              </w:rPr>
              <w:t>12、学院组建职教联盟建设方案。</w:t>
            </w:r>
          </w:p>
        </w:tc>
        <w:tc>
          <w:tcPr>
            <w:tcW w:w="1096" w:type="dxa"/>
            <w:vAlign w:val="center"/>
          </w:tcPr>
          <w:p>
            <w:pPr>
              <w:jc w:val="center"/>
              <w:rPr>
                <w:rFonts w:hint="eastAsia" w:ascii="Times New Roman" w:hAnsi="Times New Roman"/>
                <w:szCs w:val="21"/>
              </w:rPr>
            </w:pPr>
            <w:r>
              <w:rPr>
                <w:rFonts w:hint="eastAsia" w:hAnsi="宋体"/>
                <w:szCs w:val="21"/>
              </w:rPr>
              <w:t>教务处</w:t>
            </w:r>
          </w:p>
        </w:tc>
        <w:tc>
          <w:tcPr>
            <w:tcW w:w="1388" w:type="dxa"/>
            <w:vAlign w:val="center"/>
          </w:tcPr>
          <w:p>
            <w:pPr>
              <w:jc w:val="center"/>
              <w:rPr>
                <w:rFonts w:hint="eastAsia" w:hAnsi="宋体"/>
                <w:szCs w:val="21"/>
              </w:rPr>
            </w:pPr>
            <w:r>
              <w:rPr>
                <w:rFonts w:hint="eastAsia" w:hAnsi="宋体"/>
                <w:szCs w:val="21"/>
              </w:rPr>
              <w:t>教务处</w:t>
            </w:r>
          </w:p>
          <w:p>
            <w:pPr>
              <w:jc w:val="center"/>
              <w:rPr>
                <w:rFonts w:hint="eastAsia" w:hAnsi="宋体"/>
                <w:szCs w:val="21"/>
              </w:rPr>
            </w:pPr>
            <w:r>
              <w:rPr>
                <w:rFonts w:hint="eastAsia" w:hAnsi="宋体"/>
                <w:szCs w:val="21"/>
              </w:rPr>
              <w:t>校企合作办科研所</w:t>
            </w:r>
          </w:p>
          <w:p>
            <w:pPr>
              <w:jc w:val="center"/>
              <w:rPr>
                <w:rFonts w:hint="eastAsia" w:hAnsi="宋体"/>
                <w:szCs w:val="21"/>
              </w:rPr>
            </w:pPr>
            <w:r>
              <w:rPr>
                <w:rFonts w:hint="eastAsia" w:hAnsi="宋体"/>
                <w:szCs w:val="21"/>
              </w:rPr>
              <w:t>各院系</w:t>
            </w:r>
          </w:p>
          <w:p>
            <w:pPr>
              <w:jc w:val="center"/>
              <w:rPr>
                <w:rFonts w:hint="eastAsia" w:hAnsi="宋体"/>
                <w:szCs w:val="21"/>
              </w:rPr>
            </w:pPr>
            <w:r>
              <w:rPr>
                <w:rFonts w:hint="eastAsia" w:hAnsi="宋体"/>
                <w:szCs w:val="21"/>
              </w:rPr>
              <w:t>上塘学院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0" w:hRule="atLeast"/>
          <w:jc w:val="center"/>
        </w:trPr>
        <w:tc>
          <w:tcPr>
            <w:tcW w:w="1004" w:type="dxa"/>
            <w:vMerge w:val="continue"/>
            <w:shd w:val="clear" w:color="auto" w:fill="auto"/>
            <w:vAlign w:val="center"/>
          </w:tcPr>
          <w:p>
            <w:pPr>
              <w:jc w:val="center"/>
              <w:rPr>
                <w:rFonts w:ascii="Times New Roman" w:hAnsi="Times New Roman"/>
                <w:szCs w:val="21"/>
              </w:rPr>
            </w:pPr>
          </w:p>
        </w:tc>
        <w:tc>
          <w:tcPr>
            <w:tcW w:w="724" w:type="dxa"/>
            <w:vMerge w:val="continue"/>
            <w:tcBorders>
              <w:bottom w:val="single" w:color="auto" w:sz="4" w:space="0"/>
            </w:tcBorders>
            <w:shd w:val="clear" w:color="auto" w:fill="auto"/>
            <w:vAlign w:val="center"/>
          </w:tcPr>
          <w:p>
            <w:pPr>
              <w:jc w:val="center"/>
              <w:rPr>
                <w:rFonts w:ascii="Times New Roman" w:hAnsi="Times New Roman"/>
                <w:szCs w:val="21"/>
              </w:rPr>
            </w:pPr>
          </w:p>
        </w:tc>
        <w:tc>
          <w:tcPr>
            <w:tcW w:w="897" w:type="dxa"/>
            <w:tcBorders>
              <w:bottom w:val="single" w:color="auto" w:sz="4" w:space="0"/>
            </w:tcBorders>
            <w:shd w:val="clear" w:color="auto" w:fill="auto"/>
            <w:vAlign w:val="center"/>
          </w:tcPr>
          <w:p>
            <w:pPr>
              <w:jc w:val="center"/>
              <w:rPr>
                <w:rFonts w:ascii="Times New Roman" w:hAnsi="Times New Roman"/>
                <w:szCs w:val="21"/>
              </w:rPr>
            </w:pPr>
            <w:r>
              <w:rPr>
                <w:rFonts w:ascii="Times New Roman" w:hAnsi="宋体"/>
                <w:szCs w:val="21"/>
              </w:rPr>
              <w:t>外部诊断（评估）结论应用</w:t>
            </w:r>
          </w:p>
        </w:tc>
        <w:tc>
          <w:tcPr>
            <w:tcW w:w="4650" w:type="dxa"/>
            <w:tcBorders>
              <w:bottom w:val="single" w:color="auto" w:sz="4" w:space="0"/>
            </w:tcBorders>
            <w:shd w:val="clear" w:color="auto" w:fill="auto"/>
            <w:vAlign w:val="center"/>
          </w:tcPr>
          <w:p>
            <w:pPr>
              <w:rPr>
                <w:rFonts w:ascii="Times New Roman" w:hAnsi="Times New Roman"/>
                <w:szCs w:val="21"/>
              </w:rPr>
            </w:pPr>
            <w:r>
              <w:rPr>
                <w:rFonts w:ascii="Times New Roman" w:hAnsi="Times New Roman"/>
                <w:szCs w:val="21"/>
              </w:rPr>
              <w:fldChar w:fldCharType="begin"/>
            </w:r>
            <w:r>
              <w:rPr>
                <w:rFonts w:ascii="Times New Roman" w:hAnsi="Times New Roman"/>
                <w:szCs w:val="21"/>
              </w:rPr>
              <w:instrText xml:space="preserve"> = 1 \* GB3 </w:instrText>
            </w:r>
            <w:r>
              <w:rPr>
                <w:rFonts w:ascii="Times New Roman" w:hAnsi="Times New Roman"/>
                <w:szCs w:val="21"/>
              </w:rPr>
              <w:fldChar w:fldCharType="separate"/>
            </w:r>
            <w:r>
              <w:rPr>
                <w:rFonts w:ascii="宋体" w:hAnsi="宋体"/>
                <w:szCs w:val="21"/>
              </w:rPr>
              <w:t>①</w:t>
            </w:r>
            <w:r>
              <w:rPr>
                <w:rFonts w:ascii="Times New Roman" w:hAnsi="Times New Roman"/>
                <w:szCs w:val="21"/>
              </w:rPr>
              <w:fldChar w:fldCharType="end"/>
            </w:r>
            <w:r>
              <w:rPr>
                <w:rFonts w:ascii="Times New Roman" w:hAnsi="宋体"/>
                <w:kern w:val="0"/>
                <w:szCs w:val="21"/>
              </w:rPr>
              <w:t>积极引进国际（境外）先进成熟适用的职业标准、专业课程体系、教材和数字化教育资源并加以消化吸收，参与国际（境外）、国内专业认证；</w:t>
            </w:r>
          </w:p>
          <w:p>
            <w:pPr>
              <w:rPr>
                <w:rFonts w:ascii="Times New Roman" w:hAnsi="Times New Roman"/>
                <w:szCs w:val="21"/>
              </w:rPr>
            </w:pPr>
            <w:r>
              <w:rPr>
                <w:rFonts w:ascii="Times New Roman" w:hAnsi="Times New Roman"/>
                <w:szCs w:val="21"/>
              </w:rPr>
              <w:fldChar w:fldCharType="begin"/>
            </w:r>
            <w:r>
              <w:rPr>
                <w:rFonts w:ascii="Times New Roman" w:hAnsi="Times New Roman"/>
                <w:szCs w:val="21"/>
              </w:rPr>
              <w:instrText xml:space="preserve"> = 2 \* GB3 </w:instrText>
            </w:r>
            <w:r>
              <w:rPr>
                <w:rFonts w:ascii="Times New Roman" w:hAnsi="Times New Roman"/>
                <w:szCs w:val="21"/>
              </w:rPr>
              <w:fldChar w:fldCharType="separate"/>
            </w:r>
            <w:r>
              <w:rPr>
                <w:rFonts w:ascii="宋体" w:hAnsi="宋体"/>
                <w:szCs w:val="21"/>
              </w:rPr>
              <w:t>②</w:t>
            </w:r>
            <w:r>
              <w:rPr>
                <w:rFonts w:ascii="Times New Roman" w:hAnsi="Times New Roman"/>
                <w:szCs w:val="21"/>
              </w:rPr>
              <w:fldChar w:fldCharType="end"/>
            </w:r>
            <w:r>
              <w:rPr>
                <w:rFonts w:ascii="Times New Roman" w:hAnsi="Times New Roman"/>
                <w:szCs w:val="21"/>
              </w:rPr>
              <w:t xml:space="preserve"> “</w:t>
            </w:r>
            <w:r>
              <w:rPr>
                <w:rFonts w:ascii="Times New Roman" w:hAnsi="宋体"/>
                <w:szCs w:val="21"/>
              </w:rPr>
              <w:t>以评促建、以评促改</w:t>
            </w:r>
            <w:r>
              <w:rPr>
                <w:rFonts w:ascii="Times New Roman" w:hAnsi="Times New Roman"/>
                <w:szCs w:val="21"/>
              </w:rPr>
              <w:t>”</w:t>
            </w:r>
            <w:r>
              <w:rPr>
                <w:rFonts w:ascii="Times New Roman" w:hAnsi="宋体"/>
                <w:szCs w:val="21"/>
              </w:rPr>
              <w:t>的外部评估功能得到充分发挥，并能利用外部评估结论、建议推动学校进行自诊自改。</w:t>
            </w:r>
          </w:p>
        </w:tc>
        <w:tc>
          <w:tcPr>
            <w:tcW w:w="5103" w:type="dxa"/>
            <w:tcBorders>
              <w:bottom w:val="single" w:color="auto" w:sz="4" w:space="0"/>
            </w:tcBorders>
            <w:vAlign w:val="center"/>
          </w:tcPr>
          <w:p>
            <w:pPr>
              <w:rPr>
                <w:rFonts w:hint="eastAsia" w:ascii="Times New Roman" w:hAnsi="Times New Roman"/>
                <w:szCs w:val="21"/>
              </w:rPr>
            </w:pPr>
            <w:r>
              <w:rPr>
                <w:rFonts w:hint="eastAsia" w:ascii="Times New Roman" w:hAnsi="Times New Roman"/>
                <w:szCs w:val="21"/>
              </w:rPr>
              <w:t>1、学院开展国外学习交流的材料；</w:t>
            </w:r>
          </w:p>
          <w:p>
            <w:pPr>
              <w:rPr>
                <w:rFonts w:hint="eastAsia" w:ascii="Times New Roman" w:hAnsi="Times New Roman"/>
                <w:szCs w:val="21"/>
              </w:rPr>
            </w:pPr>
            <w:r>
              <w:rPr>
                <w:rFonts w:hint="eastAsia" w:ascii="Times New Roman" w:hAnsi="Times New Roman"/>
                <w:szCs w:val="21"/>
              </w:rPr>
              <w:t>2、《学院首轮整改报告》；</w:t>
            </w:r>
          </w:p>
          <w:p>
            <w:pPr>
              <w:rPr>
                <w:rFonts w:ascii="Times New Roman" w:hAnsi="Times New Roman"/>
                <w:szCs w:val="21"/>
              </w:rPr>
            </w:pPr>
            <w:r>
              <w:rPr>
                <w:rFonts w:hint="eastAsia" w:ascii="Times New Roman" w:hAnsi="Times New Roman"/>
                <w:szCs w:val="21"/>
              </w:rPr>
              <w:t>3、《学院综合改革方案》。</w:t>
            </w:r>
          </w:p>
        </w:tc>
        <w:tc>
          <w:tcPr>
            <w:tcW w:w="1096" w:type="dxa"/>
            <w:tcBorders>
              <w:bottom w:val="single" w:color="auto" w:sz="4" w:space="0"/>
            </w:tcBorders>
            <w:vAlign w:val="center"/>
          </w:tcPr>
          <w:p>
            <w:pPr>
              <w:jc w:val="center"/>
              <w:rPr>
                <w:rFonts w:hint="eastAsia" w:ascii="Times New Roman" w:hAnsi="Times New Roman"/>
                <w:szCs w:val="21"/>
              </w:rPr>
            </w:pPr>
            <w:r>
              <w:rPr>
                <w:rFonts w:hint="eastAsia" w:hAnsi="宋体"/>
                <w:szCs w:val="21"/>
              </w:rPr>
              <w:t>办公室</w:t>
            </w:r>
          </w:p>
        </w:tc>
        <w:tc>
          <w:tcPr>
            <w:tcW w:w="1388" w:type="dxa"/>
            <w:tcBorders>
              <w:bottom w:val="single" w:color="auto" w:sz="4" w:space="0"/>
            </w:tcBorders>
            <w:vAlign w:val="center"/>
          </w:tcPr>
          <w:p>
            <w:pPr>
              <w:jc w:val="center"/>
              <w:rPr>
                <w:rFonts w:hint="eastAsia" w:hAnsi="宋体"/>
                <w:szCs w:val="21"/>
              </w:rPr>
            </w:pPr>
            <w:r>
              <w:rPr>
                <w:rFonts w:hint="eastAsia" w:hAnsi="宋体"/>
                <w:szCs w:val="21"/>
              </w:rPr>
              <w:t>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jc w:val="center"/>
        </w:trPr>
        <w:tc>
          <w:tcPr>
            <w:tcW w:w="1004" w:type="dxa"/>
            <w:vMerge w:val="continue"/>
            <w:tcBorders>
              <w:right w:val="single" w:color="auto" w:sz="4" w:space="0"/>
            </w:tcBorders>
            <w:shd w:val="clear" w:color="auto" w:fill="auto"/>
            <w:vAlign w:val="center"/>
          </w:tcPr>
          <w:p>
            <w:pPr>
              <w:jc w:val="center"/>
              <w:rPr>
                <w:rFonts w:ascii="Times New Roman" w:hAnsi="Times New Roman"/>
                <w:szCs w:val="21"/>
              </w:rPr>
            </w:pPr>
          </w:p>
        </w:tc>
        <w:tc>
          <w:tcPr>
            <w:tcW w:w="72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szCs w:val="21"/>
              </w:rPr>
            </w:pPr>
            <w:r>
              <w:rPr>
                <w:rFonts w:ascii="Times New Roman" w:hAnsi="Times New Roman"/>
                <w:szCs w:val="21"/>
              </w:rPr>
              <w:t>2.3</w:t>
            </w:r>
            <w:r>
              <w:rPr>
                <w:rFonts w:ascii="Times New Roman" w:hAnsi="宋体"/>
                <w:szCs w:val="21"/>
              </w:rPr>
              <w:t>课程质量保证</w:t>
            </w:r>
          </w:p>
        </w:tc>
        <w:tc>
          <w:tcPr>
            <w:tcW w:w="89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szCs w:val="21"/>
              </w:rPr>
            </w:pPr>
            <w:r>
              <w:rPr>
                <w:rFonts w:ascii="Times New Roman" w:hAnsi="宋体"/>
                <w:szCs w:val="21"/>
              </w:rPr>
              <w:t>课程建设规划</w:t>
            </w:r>
          </w:p>
        </w:tc>
        <w:tc>
          <w:tcPr>
            <w:tcW w:w="465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szCs w:val="21"/>
              </w:rPr>
            </w:pPr>
            <w:r>
              <w:rPr>
                <w:rFonts w:ascii="Times New Roman" w:hAnsi="Times New Roman"/>
                <w:szCs w:val="21"/>
              </w:rPr>
              <w:fldChar w:fldCharType="begin"/>
            </w:r>
            <w:r>
              <w:rPr>
                <w:rFonts w:ascii="Times New Roman" w:hAnsi="Times New Roman"/>
                <w:szCs w:val="21"/>
              </w:rPr>
              <w:instrText xml:space="preserve"> = 1 \* GB3 </w:instrText>
            </w:r>
            <w:r>
              <w:rPr>
                <w:rFonts w:ascii="Times New Roman" w:hAnsi="Times New Roman"/>
                <w:szCs w:val="21"/>
              </w:rPr>
              <w:fldChar w:fldCharType="separate"/>
            </w:r>
            <w:r>
              <w:rPr>
                <w:rFonts w:ascii="宋体" w:hAnsi="宋体"/>
                <w:szCs w:val="21"/>
              </w:rPr>
              <w:t>①</w:t>
            </w:r>
            <w:r>
              <w:rPr>
                <w:rFonts w:ascii="Times New Roman" w:hAnsi="Times New Roman"/>
                <w:szCs w:val="21"/>
              </w:rPr>
              <w:fldChar w:fldCharType="end"/>
            </w:r>
            <w:r>
              <w:rPr>
                <w:rFonts w:ascii="Times New Roman" w:hAnsi="宋体"/>
                <w:szCs w:val="21"/>
              </w:rPr>
              <w:t>课程建设规划科学合理，能跟踪市场变化及时调整课程设置；</w:t>
            </w:r>
          </w:p>
          <w:p>
            <w:pPr>
              <w:rPr>
                <w:rFonts w:ascii="Times New Roman" w:hAnsi="Times New Roman"/>
                <w:szCs w:val="21"/>
              </w:rPr>
            </w:pPr>
            <w:r>
              <w:rPr>
                <w:rFonts w:ascii="Times New Roman" w:hAnsi="Times New Roman"/>
                <w:szCs w:val="21"/>
              </w:rPr>
              <w:fldChar w:fldCharType="begin"/>
            </w:r>
            <w:r>
              <w:rPr>
                <w:rFonts w:ascii="Times New Roman" w:hAnsi="Times New Roman"/>
                <w:szCs w:val="21"/>
              </w:rPr>
              <w:instrText xml:space="preserve"> = 2 \* GB3 </w:instrText>
            </w:r>
            <w:r>
              <w:rPr>
                <w:rFonts w:ascii="Times New Roman" w:hAnsi="Times New Roman"/>
                <w:szCs w:val="21"/>
              </w:rPr>
              <w:fldChar w:fldCharType="separate"/>
            </w:r>
            <w:r>
              <w:rPr>
                <w:rFonts w:ascii="宋体" w:hAnsi="宋体"/>
                <w:szCs w:val="21"/>
              </w:rPr>
              <w:t>②</w:t>
            </w:r>
            <w:r>
              <w:rPr>
                <w:rFonts w:ascii="Times New Roman" w:hAnsi="Times New Roman"/>
                <w:szCs w:val="21"/>
              </w:rPr>
              <w:fldChar w:fldCharType="end"/>
            </w:r>
            <w:r>
              <w:rPr>
                <w:rFonts w:ascii="Times New Roman" w:hAnsi="宋体"/>
                <w:szCs w:val="21"/>
              </w:rPr>
              <w:t>注重精品课程、主干课程建设，课程建设规划具有可行性与可操作性。</w:t>
            </w:r>
          </w:p>
        </w:tc>
        <w:tc>
          <w:tcPr>
            <w:tcW w:w="5103" w:type="dxa"/>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szCs w:val="21"/>
              </w:rPr>
            </w:pPr>
            <w:r>
              <w:rPr>
                <w:rFonts w:hint="eastAsia" w:ascii="Times New Roman" w:hAnsi="Times New Roman"/>
                <w:szCs w:val="21"/>
              </w:rPr>
              <w:t>1、《学院课程建设规划》；</w:t>
            </w:r>
          </w:p>
          <w:p>
            <w:pPr>
              <w:rPr>
                <w:rFonts w:hint="eastAsia" w:ascii="Times New Roman" w:hAnsi="Times New Roman"/>
                <w:szCs w:val="21"/>
              </w:rPr>
            </w:pPr>
            <w:r>
              <w:rPr>
                <w:rFonts w:hint="eastAsia" w:ascii="Times New Roman" w:hAnsi="Times New Roman"/>
                <w:szCs w:val="21"/>
              </w:rPr>
              <w:t>2、学院专业人才培养方案编制指导性意见及相关佐证资料；</w:t>
            </w:r>
          </w:p>
          <w:p>
            <w:pPr>
              <w:rPr>
                <w:rFonts w:hint="eastAsia" w:ascii="Times New Roman" w:hAnsi="Times New Roman"/>
                <w:szCs w:val="21"/>
              </w:rPr>
            </w:pPr>
            <w:r>
              <w:rPr>
                <w:rFonts w:hint="eastAsia" w:ascii="Times New Roman" w:hAnsi="Times New Roman"/>
                <w:szCs w:val="21"/>
              </w:rPr>
              <w:t>3、学院推行课程体系改革的相关资料；</w:t>
            </w:r>
          </w:p>
          <w:p>
            <w:pPr>
              <w:rPr>
                <w:rFonts w:ascii="Times New Roman" w:hAnsi="Times New Roman"/>
                <w:szCs w:val="21"/>
              </w:rPr>
            </w:pPr>
            <w:r>
              <w:rPr>
                <w:rFonts w:hint="eastAsia" w:ascii="Times New Roman" w:hAnsi="Times New Roman"/>
                <w:szCs w:val="21"/>
              </w:rPr>
              <w:t>4、各专业人才培养方案实施调整审批表及相关资料。</w:t>
            </w:r>
          </w:p>
        </w:tc>
        <w:tc>
          <w:tcPr>
            <w:tcW w:w="109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szCs w:val="21"/>
              </w:rPr>
            </w:pPr>
            <w:r>
              <w:rPr>
                <w:rFonts w:hint="eastAsia" w:hAnsi="宋体"/>
                <w:szCs w:val="21"/>
              </w:rPr>
              <w:t>教务处</w:t>
            </w:r>
          </w:p>
        </w:tc>
        <w:tc>
          <w:tcPr>
            <w:tcW w:w="1388" w:type="dxa"/>
            <w:tcBorders>
              <w:top w:val="single" w:color="auto" w:sz="4" w:space="0"/>
              <w:left w:val="single" w:color="auto" w:sz="4" w:space="0"/>
              <w:bottom w:val="single" w:color="auto" w:sz="4" w:space="0"/>
              <w:right w:val="single" w:color="auto" w:sz="4" w:space="0"/>
            </w:tcBorders>
            <w:vAlign w:val="center"/>
          </w:tcPr>
          <w:p>
            <w:pPr>
              <w:jc w:val="center"/>
              <w:rPr>
                <w:rFonts w:hint="eastAsia" w:hAnsi="宋体"/>
                <w:szCs w:val="21"/>
              </w:rPr>
            </w:pPr>
            <w:r>
              <w:rPr>
                <w:rFonts w:hint="eastAsia" w:hAnsi="宋体"/>
                <w:szCs w:val="21"/>
              </w:rPr>
              <w:t>教务处</w:t>
            </w:r>
          </w:p>
          <w:p>
            <w:pPr>
              <w:jc w:val="center"/>
              <w:rPr>
                <w:rFonts w:hint="eastAsia" w:hAnsi="宋体"/>
                <w:szCs w:val="21"/>
              </w:rPr>
            </w:pPr>
            <w:r>
              <w:rPr>
                <w:rFonts w:hint="eastAsia" w:hAnsi="宋体"/>
                <w:szCs w:val="21"/>
              </w:rPr>
              <w:t>各院系（部）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8" w:hRule="atLeast"/>
          <w:jc w:val="center"/>
        </w:trPr>
        <w:tc>
          <w:tcPr>
            <w:tcW w:w="1004" w:type="dxa"/>
            <w:vMerge w:val="continue"/>
            <w:tcBorders>
              <w:right w:val="single" w:color="auto" w:sz="4" w:space="0"/>
            </w:tcBorders>
            <w:shd w:val="clear" w:color="auto" w:fill="auto"/>
            <w:vAlign w:val="center"/>
          </w:tcPr>
          <w:p>
            <w:pPr>
              <w:jc w:val="center"/>
              <w:rPr>
                <w:rFonts w:ascii="Times New Roman" w:hAnsi="Times New Roman"/>
                <w:szCs w:val="21"/>
              </w:rPr>
            </w:pPr>
          </w:p>
        </w:tc>
        <w:tc>
          <w:tcPr>
            <w:tcW w:w="72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szCs w:val="21"/>
              </w:rPr>
            </w:pPr>
          </w:p>
        </w:tc>
        <w:tc>
          <w:tcPr>
            <w:tcW w:w="89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szCs w:val="21"/>
              </w:rPr>
            </w:pPr>
            <w:r>
              <w:rPr>
                <w:rFonts w:ascii="Times New Roman" w:hAnsi="宋体"/>
                <w:szCs w:val="21"/>
              </w:rPr>
              <w:t>目标与标准</w:t>
            </w:r>
          </w:p>
        </w:tc>
        <w:tc>
          <w:tcPr>
            <w:tcW w:w="465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szCs w:val="21"/>
              </w:rPr>
            </w:pPr>
            <w:r>
              <w:rPr>
                <w:rFonts w:ascii="Times New Roman" w:hAnsi="Times New Roman"/>
                <w:szCs w:val="21"/>
              </w:rPr>
              <w:fldChar w:fldCharType="begin"/>
            </w:r>
            <w:r>
              <w:rPr>
                <w:rFonts w:ascii="Times New Roman" w:hAnsi="Times New Roman"/>
                <w:szCs w:val="21"/>
              </w:rPr>
              <w:instrText xml:space="preserve"> = 1 \* GB3 </w:instrText>
            </w:r>
            <w:r>
              <w:rPr>
                <w:rFonts w:ascii="Times New Roman" w:hAnsi="Times New Roman"/>
                <w:szCs w:val="21"/>
              </w:rPr>
              <w:fldChar w:fldCharType="separate"/>
            </w:r>
            <w:r>
              <w:rPr>
                <w:rFonts w:ascii="宋体" w:hAnsi="宋体"/>
                <w:szCs w:val="21"/>
              </w:rPr>
              <w:t>①</w:t>
            </w:r>
            <w:r>
              <w:rPr>
                <w:rFonts w:ascii="Times New Roman" w:hAnsi="Times New Roman"/>
                <w:szCs w:val="21"/>
              </w:rPr>
              <w:fldChar w:fldCharType="end"/>
            </w:r>
            <w:r>
              <w:rPr>
                <w:rFonts w:ascii="Times New Roman" w:hAnsi="宋体"/>
                <w:szCs w:val="21"/>
              </w:rPr>
              <w:t>课程建设规划得到有效执行，目标达成度高；</w:t>
            </w:r>
          </w:p>
          <w:p>
            <w:pPr>
              <w:rPr>
                <w:rFonts w:ascii="Times New Roman" w:hAnsi="Times New Roman"/>
                <w:szCs w:val="21"/>
              </w:rPr>
            </w:pPr>
            <w:r>
              <w:rPr>
                <w:rFonts w:ascii="Times New Roman" w:hAnsi="Times New Roman"/>
                <w:szCs w:val="21"/>
              </w:rPr>
              <w:fldChar w:fldCharType="begin"/>
            </w:r>
            <w:r>
              <w:rPr>
                <w:rFonts w:ascii="Times New Roman" w:hAnsi="Times New Roman"/>
                <w:szCs w:val="21"/>
              </w:rPr>
              <w:instrText xml:space="preserve"> = 2 \* GB3 </w:instrText>
            </w:r>
            <w:r>
              <w:rPr>
                <w:rFonts w:ascii="Times New Roman" w:hAnsi="Times New Roman"/>
                <w:szCs w:val="21"/>
              </w:rPr>
              <w:fldChar w:fldCharType="separate"/>
            </w:r>
            <w:r>
              <w:rPr>
                <w:rFonts w:ascii="宋体" w:hAnsi="宋体"/>
                <w:szCs w:val="21"/>
              </w:rPr>
              <w:t>②</w:t>
            </w:r>
            <w:r>
              <w:rPr>
                <w:rFonts w:ascii="Times New Roman" w:hAnsi="Times New Roman"/>
                <w:szCs w:val="21"/>
              </w:rPr>
              <w:fldChar w:fldCharType="end"/>
            </w:r>
            <w:r>
              <w:rPr>
                <w:rFonts w:ascii="Times New Roman" w:hAnsi="宋体"/>
                <w:kern w:val="0"/>
                <w:szCs w:val="21"/>
              </w:rPr>
              <w:t>根据《高等职业学校专业教学标准（试行）》，制订</w:t>
            </w:r>
            <w:r>
              <w:rPr>
                <w:rFonts w:ascii="Times New Roman" w:hAnsi="宋体"/>
                <w:szCs w:val="21"/>
              </w:rPr>
              <w:t>具备科学性、先进性、规范性与完备性</w:t>
            </w:r>
            <w:r>
              <w:rPr>
                <w:rFonts w:ascii="Times New Roman" w:hAnsi="宋体"/>
                <w:kern w:val="0"/>
                <w:szCs w:val="21"/>
              </w:rPr>
              <w:t>的实施性课程标准</w:t>
            </w:r>
            <w:r>
              <w:rPr>
                <w:rFonts w:ascii="Times New Roman" w:hAnsi="宋体"/>
                <w:szCs w:val="21"/>
              </w:rPr>
              <w:t>。</w:t>
            </w:r>
          </w:p>
        </w:tc>
        <w:tc>
          <w:tcPr>
            <w:tcW w:w="5103" w:type="dxa"/>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szCs w:val="21"/>
              </w:rPr>
            </w:pPr>
            <w:r>
              <w:rPr>
                <w:rFonts w:hint="eastAsia" w:ascii="Times New Roman" w:hAnsi="Times New Roman"/>
                <w:szCs w:val="21"/>
              </w:rPr>
              <w:t>1、近五年学院课程建设情况总结；</w:t>
            </w:r>
          </w:p>
          <w:p>
            <w:pPr>
              <w:rPr>
                <w:rFonts w:hint="eastAsia" w:ascii="Times New Roman" w:hAnsi="Times New Roman"/>
                <w:szCs w:val="21"/>
              </w:rPr>
            </w:pPr>
            <w:r>
              <w:rPr>
                <w:rFonts w:hint="eastAsia" w:ascii="Times New Roman" w:hAnsi="Times New Roman"/>
                <w:szCs w:val="21"/>
              </w:rPr>
              <w:t xml:space="preserve">2、学院省级、院级精品课程一览表； </w:t>
            </w:r>
          </w:p>
          <w:p>
            <w:pPr>
              <w:rPr>
                <w:rFonts w:ascii="Times New Roman" w:hAnsi="Times New Roman"/>
                <w:szCs w:val="21"/>
              </w:rPr>
            </w:pPr>
            <w:r>
              <w:rPr>
                <w:rFonts w:hint="eastAsia" w:ascii="Times New Roman" w:hAnsi="Times New Roman"/>
                <w:szCs w:val="21"/>
              </w:rPr>
              <w:t>3、各专业课程标准汇编及制订资料。</w:t>
            </w:r>
          </w:p>
        </w:tc>
        <w:tc>
          <w:tcPr>
            <w:tcW w:w="109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szCs w:val="21"/>
              </w:rPr>
            </w:pPr>
            <w:r>
              <w:rPr>
                <w:rFonts w:hint="eastAsia" w:hAnsi="宋体"/>
                <w:szCs w:val="21"/>
              </w:rPr>
              <w:t>教务处</w:t>
            </w:r>
          </w:p>
        </w:tc>
        <w:tc>
          <w:tcPr>
            <w:tcW w:w="1388" w:type="dxa"/>
            <w:tcBorders>
              <w:top w:val="single" w:color="auto" w:sz="4" w:space="0"/>
              <w:left w:val="single" w:color="auto" w:sz="4" w:space="0"/>
              <w:bottom w:val="single" w:color="auto" w:sz="4" w:space="0"/>
              <w:right w:val="single" w:color="auto" w:sz="4" w:space="0"/>
            </w:tcBorders>
            <w:vAlign w:val="center"/>
          </w:tcPr>
          <w:p>
            <w:pPr>
              <w:jc w:val="center"/>
              <w:rPr>
                <w:rFonts w:hint="eastAsia" w:hAnsi="宋体"/>
                <w:szCs w:val="21"/>
              </w:rPr>
            </w:pPr>
            <w:r>
              <w:rPr>
                <w:rFonts w:hint="eastAsia" w:hAnsi="宋体"/>
                <w:szCs w:val="21"/>
              </w:rPr>
              <w:t>教务处</w:t>
            </w:r>
          </w:p>
          <w:p>
            <w:pPr>
              <w:jc w:val="center"/>
              <w:rPr>
                <w:rFonts w:hint="eastAsia" w:hAnsi="宋体"/>
                <w:szCs w:val="21"/>
              </w:rPr>
            </w:pPr>
            <w:r>
              <w:rPr>
                <w:rFonts w:hint="eastAsia" w:hAnsi="宋体"/>
                <w:szCs w:val="21"/>
              </w:rPr>
              <w:t>各院系（部）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67" w:hRule="atLeast"/>
          <w:jc w:val="center"/>
        </w:trPr>
        <w:tc>
          <w:tcPr>
            <w:tcW w:w="1004" w:type="dxa"/>
            <w:vMerge w:val="continue"/>
            <w:tcBorders>
              <w:right w:val="single" w:color="auto" w:sz="4" w:space="0"/>
            </w:tcBorders>
            <w:shd w:val="clear" w:color="auto" w:fill="auto"/>
            <w:vAlign w:val="center"/>
          </w:tcPr>
          <w:p>
            <w:pPr>
              <w:jc w:val="center"/>
              <w:rPr>
                <w:rFonts w:ascii="Times New Roman" w:hAnsi="Times New Roman"/>
                <w:szCs w:val="21"/>
              </w:rPr>
            </w:pPr>
          </w:p>
        </w:tc>
        <w:tc>
          <w:tcPr>
            <w:tcW w:w="72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szCs w:val="21"/>
              </w:rPr>
            </w:pPr>
          </w:p>
        </w:tc>
        <w:tc>
          <w:tcPr>
            <w:tcW w:w="89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szCs w:val="21"/>
              </w:rPr>
            </w:pPr>
            <w:r>
              <w:rPr>
                <w:rFonts w:ascii="Times New Roman" w:hAnsi="宋体"/>
                <w:szCs w:val="21"/>
              </w:rPr>
              <w:t>诊改制度实施与效果</w:t>
            </w:r>
          </w:p>
        </w:tc>
        <w:tc>
          <w:tcPr>
            <w:tcW w:w="465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szCs w:val="21"/>
              </w:rPr>
            </w:pPr>
            <w:r>
              <w:rPr>
                <w:rFonts w:ascii="Times New Roman" w:hAnsi="Times New Roman"/>
                <w:szCs w:val="21"/>
              </w:rPr>
              <w:fldChar w:fldCharType="begin"/>
            </w:r>
            <w:r>
              <w:rPr>
                <w:rFonts w:ascii="Times New Roman" w:hAnsi="Times New Roman"/>
                <w:szCs w:val="21"/>
              </w:rPr>
              <w:instrText xml:space="preserve"> = 1 \* GB3 </w:instrText>
            </w:r>
            <w:r>
              <w:rPr>
                <w:rFonts w:ascii="Times New Roman" w:hAnsi="Times New Roman"/>
                <w:szCs w:val="21"/>
              </w:rPr>
              <w:fldChar w:fldCharType="separate"/>
            </w:r>
            <w:r>
              <w:rPr>
                <w:rFonts w:ascii="宋体" w:hAnsi="宋体"/>
                <w:szCs w:val="21"/>
              </w:rPr>
              <w:t>①</w:t>
            </w:r>
            <w:r>
              <w:rPr>
                <w:rFonts w:ascii="Times New Roman" w:hAnsi="Times New Roman"/>
                <w:szCs w:val="21"/>
              </w:rPr>
              <w:fldChar w:fldCharType="end"/>
            </w:r>
            <w:r>
              <w:rPr>
                <w:rFonts w:ascii="Times New Roman" w:hAnsi="宋体"/>
                <w:szCs w:val="21"/>
              </w:rPr>
              <w:t>校内定期开展对课程建设水平和教学质量的诊改，形成常态化的课程质量保证机制；</w:t>
            </w:r>
          </w:p>
          <w:p>
            <w:pPr>
              <w:rPr>
                <w:rFonts w:ascii="Times New Roman" w:hAnsi="Times New Roman"/>
                <w:szCs w:val="21"/>
              </w:rPr>
            </w:pPr>
            <w:r>
              <w:rPr>
                <w:rFonts w:ascii="Times New Roman" w:hAnsi="Times New Roman"/>
                <w:szCs w:val="21"/>
              </w:rPr>
              <w:fldChar w:fldCharType="begin"/>
            </w:r>
            <w:r>
              <w:rPr>
                <w:rFonts w:ascii="Times New Roman" w:hAnsi="Times New Roman"/>
                <w:szCs w:val="21"/>
              </w:rPr>
              <w:instrText xml:space="preserve"> = 2 \* GB3 </w:instrText>
            </w:r>
            <w:r>
              <w:rPr>
                <w:rFonts w:ascii="Times New Roman" w:hAnsi="Times New Roman"/>
                <w:szCs w:val="21"/>
              </w:rPr>
              <w:fldChar w:fldCharType="separate"/>
            </w:r>
            <w:r>
              <w:rPr>
                <w:rFonts w:ascii="宋体" w:hAnsi="宋体"/>
                <w:szCs w:val="21"/>
              </w:rPr>
              <w:t>②</w:t>
            </w:r>
            <w:r>
              <w:rPr>
                <w:rFonts w:ascii="Times New Roman" w:hAnsi="Times New Roman"/>
                <w:szCs w:val="21"/>
              </w:rPr>
              <w:fldChar w:fldCharType="end"/>
            </w:r>
            <w:r>
              <w:rPr>
                <w:rFonts w:ascii="Times New Roman" w:hAnsi="宋体"/>
                <w:szCs w:val="21"/>
              </w:rPr>
              <w:t>课程质量保证机制运行良好，对提高课程建设水平和教学质量产生明显的推进作用。</w:t>
            </w:r>
          </w:p>
        </w:tc>
        <w:tc>
          <w:tcPr>
            <w:tcW w:w="5103" w:type="dxa"/>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szCs w:val="21"/>
              </w:rPr>
            </w:pPr>
            <w:r>
              <w:rPr>
                <w:rFonts w:hint="eastAsia" w:ascii="Times New Roman" w:hAnsi="Times New Roman"/>
                <w:szCs w:val="21"/>
              </w:rPr>
              <w:t>1、学院常态化教学管理过程的资料；</w:t>
            </w:r>
          </w:p>
          <w:p>
            <w:pPr>
              <w:rPr>
                <w:rFonts w:hint="eastAsia" w:ascii="Times New Roman" w:hAnsi="Times New Roman"/>
                <w:szCs w:val="21"/>
              </w:rPr>
            </w:pPr>
            <w:r>
              <w:rPr>
                <w:rFonts w:hint="eastAsia" w:ascii="Times New Roman" w:hAnsi="Times New Roman"/>
                <w:szCs w:val="21"/>
              </w:rPr>
              <w:t>2、学院制定的教学质量保障和监控体系方面的文件及实施情况的资料；</w:t>
            </w:r>
          </w:p>
          <w:p>
            <w:pPr>
              <w:rPr>
                <w:rFonts w:hint="eastAsia" w:ascii="Times New Roman" w:hAnsi="Times New Roman"/>
                <w:szCs w:val="21"/>
              </w:rPr>
            </w:pPr>
            <w:r>
              <w:rPr>
                <w:rFonts w:hint="eastAsia" w:ascii="Times New Roman" w:hAnsi="Times New Roman"/>
                <w:szCs w:val="21"/>
              </w:rPr>
              <w:t>3、各院系（部）教学检查、评价的相关资料（四级教学责任考核）；</w:t>
            </w:r>
          </w:p>
          <w:p>
            <w:pPr>
              <w:rPr>
                <w:rFonts w:hint="eastAsia" w:ascii="Times New Roman" w:hAnsi="Times New Roman"/>
                <w:szCs w:val="21"/>
              </w:rPr>
            </w:pPr>
            <w:r>
              <w:rPr>
                <w:rFonts w:hint="eastAsia" w:ascii="Times New Roman" w:hAnsi="Times New Roman"/>
                <w:szCs w:val="21"/>
              </w:rPr>
              <w:t>4、学院教学内容改革的相关资料；</w:t>
            </w:r>
          </w:p>
          <w:p>
            <w:pPr>
              <w:rPr>
                <w:rFonts w:hint="eastAsia" w:ascii="Times New Roman" w:hAnsi="Times New Roman"/>
                <w:szCs w:val="21"/>
              </w:rPr>
            </w:pPr>
            <w:r>
              <w:rPr>
                <w:rFonts w:hint="eastAsia" w:ascii="Times New Roman" w:hAnsi="Times New Roman"/>
                <w:szCs w:val="21"/>
              </w:rPr>
              <w:t>5、学院课程考核方式改革申请表及汇总表；</w:t>
            </w:r>
          </w:p>
          <w:p>
            <w:pPr>
              <w:rPr>
                <w:rFonts w:hint="eastAsia" w:ascii="Times New Roman" w:hAnsi="Times New Roman"/>
                <w:szCs w:val="21"/>
              </w:rPr>
            </w:pPr>
            <w:r>
              <w:rPr>
                <w:rFonts w:hint="eastAsia" w:ascii="Times New Roman" w:hAnsi="Times New Roman"/>
                <w:szCs w:val="21"/>
              </w:rPr>
              <w:t>6、学院开展课堂教学研讨会资料汇编资料；</w:t>
            </w:r>
          </w:p>
          <w:p>
            <w:pPr>
              <w:rPr>
                <w:rFonts w:hint="eastAsia" w:ascii="Times New Roman" w:hAnsi="Times New Roman"/>
                <w:szCs w:val="21"/>
              </w:rPr>
            </w:pPr>
            <w:r>
              <w:rPr>
                <w:rFonts w:hint="eastAsia" w:ascii="Times New Roman" w:hAnsi="Times New Roman"/>
                <w:szCs w:val="21"/>
              </w:rPr>
              <w:t>7、校企合作开发课程一览表；</w:t>
            </w:r>
          </w:p>
          <w:p>
            <w:pPr>
              <w:rPr>
                <w:rFonts w:hint="eastAsia" w:ascii="Times New Roman" w:hAnsi="Times New Roman"/>
                <w:szCs w:val="21"/>
              </w:rPr>
            </w:pPr>
            <w:r>
              <w:rPr>
                <w:rFonts w:hint="eastAsia" w:ascii="Times New Roman" w:hAnsi="Times New Roman"/>
                <w:szCs w:val="21"/>
              </w:rPr>
              <w:t>8、校企合作开发教材统计表；</w:t>
            </w:r>
          </w:p>
          <w:p>
            <w:pPr>
              <w:rPr>
                <w:rFonts w:hint="eastAsia" w:ascii="Times New Roman" w:hAnsi="Times New Roman"/>
                <w:szCs w:val="21"/>
              </w:rPr>
            </w:pPr>
            <w:r>
              <w:rPr>
                <w:rFonts w:hint="eastAsia" w:ascii="Times New Roman" w:hAnsi="Times New Roman"/>
                <w:szCs w:val="21"/>
              </w:rPr>
              <w:t>9、校本教材汇总表及样书；</w:t>
            </w:r>
          </w:p>
          <w:p>
            <w:pPr>
              <w:rPr>
                <w:rFonts w:ascii="Times New Roman" w:hAnsi="Times New Roman"/>
                <w:szCs w:val="21"/>
              </w:rPr>
            </w:pPr>
            <w:r>
              <w:rPr>
                <w:rFonts w:hint="eastAsia" w:ascii="Times New Roman" w:hAnsi="Times New Roman"/>
                <w:szCs w:val="21"/>
              </w:rPr>
              <w:t>10、课程网络资源建设统计表。</w:t>
            </w:r>
          </w:p>
        </w:tc>
        <w:tc>
          <w:tcPr>
            <w:tcW w:w="109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szCs w:val="21"/>
              </w:rPr>
            </w:pPr>
            <w:r>
              <w:rPr>
                <w:rFonts w:hint="eastAsia" w:ascii="Times New Roman" w:hAnsi="Times New Roman"/>
                <w:szCs w:val="21"/>
              </w:rPr>
              <w:t>教务处</w:t>
            </w:r>
          </w:p>
        </w:tc>
        <w:tc>
          <w:tcPr>
            <w:tcW w:w="1388" w:type="dxa"/>
            <w:tcBorders>
              <w:top w:val="single" w:color="auto" w:sz="4" w:space="0"/>
              <w:left w:val="single" w:color="auto" w:sz="4" w:space="0"/>
              <w:bottom w:val="single" w:color="auto" w:sz="4" w:space="0"/>
              <w:right w:val="single" w:color="auto" w:sz="4" w:space="0"/>
            </w:tcBorders>
            <w:vAlign w:val="center"/>
          </w:tcPr>
          <w:p>
            <w:pPr>
              <w:jc w:val="center"/>
              <w:rPr>
                <w:rFonts w:hint="eastAsia" w:hAnsi="宋体"/>
                <w:szCs w:val="21"/>
              </w:rPr>
            </w:pPr>
            <w:r>
              <w:rPr>
                <w:rFonts w:hint="eastAsia" w:hAnsi="宋体"/>
                <w:szCs w:val="21"/>
              </w:rPr>
              <w:t>教务处</w:t>
            </w:r>
          </w:p>
          <w:p>
            <w:pPr>
              <w:jc w:val="center"/>
              <w:rPr>
                <w:rFonts w:hint="eastAsia" w:hAnsi="宋体"/>
                <w:szCs w:val="21"/>
              </w:rPr>
            </w:pPr>
            <w:r>
              <w:rPr>
                <w:rFonts w:hint="eastAsia" w:hAnsi="宋体"/>
                <w:szCs w:val="21"/>
              </w:rPr>
              <w:t>各院系（部）质控中心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76" w:hRule="atLeast"/>
          <w:jc w:val="center"/>
        </w:trPr>
        <w:tc>
          <w:tcPr>
            <w:tcW w:w="1004" w:type="dxa"/>
            <w:vMerge w:val="restart"/>
            <w:tcBorders>
              <w:right w:val="single" w:color="auto" w:sz="4" w:space="0"/>
            </w:tcBorders>
            <w:shd w:val="clear" w:color="auto" w:fill="auto"/>
            <w:vAlign w:val="center"/>
          </w:tcPr>
          <w:p>
            <w:pPr>
              <w:jc w:val="center"/>
              <w:rPr>
                <w:rFonts w:ascii="Times New Roman" w:hAnsi="Times New Roman"/>
                <w:szCs w:val="21"/>
              </w:rPr>
            </w:pPr>
            <w:r>
              <w:rPr>
                <w:rFonts w:ascii="Times New Roman" w:hAnsi="Times New Roman"/>
                <w:b/>
                <w:sz w:val="24"/>
              </w:rPr>
              <w:t xml:space="preserve">3 </w:t>
            </w:r>
            <w:r>
              <w:rPr>
                <w:rFonts w:ascii="Times New Roman" w:hAnsi="宋体"/>
                <w:b/>
                <w:sz w:val="24"/>
              </w:rPr>
              <w:t>师资质量保证</w:t>
            </w:r>
            <w:r>
              <w:rPr>
                <w:rFonts w:hint="eastAsia" w:ascii="Times New Roman" w:hAnsi="Times New Roman"/>
                <w:b/>
                <w:sz w:val="24"/>
              </w:rPr>
              <w:t>（负责部门：人事处）</w:t>
            </w:r>
          </w:p>
        </w:tc>
        <w:tc>
          <w:tcPr>
            <w:tcW w:w="72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szCs w:val="21"/>
              </w:rPr>
            </w:pPr>
            <w:r>
              <w:rPr>
                <w:rFonts w:ascii="Times New Roman" w:hAnsi="Times New Roman"/>
                <w:szCs w:val="21"/>
              </w:rPr>
              <w:t>3.1</w:t>
            </w:r>
            <w:r>
              <w:rPr>
                <w:rFonts w:ascii="Times New Roman" w:hAnsi="宋体"/>
                <w:szCs w:val="21"/>
              </w:rPr>
              <w:t>师资队伍建设规划</w:t>
            </w:r>
          </w:p>
        </w:tc>
        <w:tc>
          <w:tcPr>
            <w:tcW w:w="89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szCs w:val="21"/>
              </w:rPr>
            </w:pPr>
            <w:r>
              <w:rPr>
                <w:rFonts w:ascii="Times New Roman" w:hAnsi="宋体"/>
                <w:szCs w:val="21"/>
              </w:rPr>
              <w:t>规划制定</w:t>
            </w:r>
          </w:p>
        </w:tc>
        <w:tc>
          <w:tcPr>
            <w:tcW w:w="465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szCs w:val="21"/>
              </w:rPr>
            </w:pPr>
            <w:r>
              <w:rPr>
                <w:rFonts w:ascii="Times New Roman" w:hAnsi="Times New Roman"/>
                <w:szCs w:val="21"/>
              </w:rPr>
              <w:fldChar w:fldCharType="begin"/>
            </w:r>
            <w:r>
              <w:rPr>
                <w:rFonts w:ascii="Times New Roman" w:hAnsi="Times New Roman"/>
                <w:szCs w:val="21"/>
              </w:rPr>
              <w:instrText xml:space="preserve"> = 1 \* GB3 </w:instrText>
            </w:r>
            <w:r>
              <w:rPr>
                <w:rFonts w:ascii="Times New Roman" w:hAnsi="Times New Roman"/>
                <w:szCs w:val="21"/>
              </w:rPr>
              <w:fldChar w:fldCharType="separate"/>
            </w:r>
            <w:r>
              <w:rPr>
                <w:rFonts w:ascii="宋体" w:hAnsi="宋体"/>
                <w:szCs w:val="21"/>
              </w:rPr>
              <w:t>①</w:t>
            </w:r>
            <w:r>
              <w:rPr>
                <w:rFonts w:ascii="Times New Roman" w:hAnsi="Times New Roman"/>
                <w:szCs w:val="21"/>
              </w:rPr>
              <w:fldChar w:fldCharType="end"/>
            </w:r>
            <w:r>
              <w:rPr>
                <w:rFonts w:ascii="Times New Roman" w:hAnsi="宋体"/>
                <w:szCs w:val="21"/>
              </w:rPr>
              <w:t>在学校、院系、专业等层面制定师资队伍建设规划和年度计划，各层面的建设规划和年度计划具有较高的科学性、一致性和可行性；</w:t>
            </w:r>
          </w:p>
          <w:p>
            <w:pPr>
              <w:rPr>
                <w:rFonts w:ascii="Times New Roman" w:hAnsi="Times New Roman"/>
                <w:szCs w:val="21"/>
              </w:rPr>
            </w:pPr>
            <w:r>
              <w:rPr>
                <w:rFonts w:ascii="Times New Roman" w:hAnsi="Times New Roman"/>
                <w:szCs w:val="21"/>
              </w:rPr>
              <w:fldChar w:fldCharType="begin"/>
            </w:r>
            <w:r>
              <w:rPr>
                <w:rFonts w:ascii="Times New Roman" w:hAnsi="Times New Roman"/>
                <w:szCs w:val="21"/>
              </w:rPr>
              <w:instrText xml:space="preserve"> = 2 \* GB3 </w:instrText>
            </w:r>
            <w:r>
              <w:rPr>
                <w:rFonts w:ascii="Times New Roman" w:hAnsi="Times New Roman"/>
                <w:szCs w:val="21"/>
              </w:rPr>
              <w:fldChar w:fldCharType="separate"/>
            </w:r>
            <w:r>
              <w:rPr>
                <w:rFonts w:ascii="宋体" w:hAnsi="宋体"/>
                <w:szCs w:val="21"/>
              </w:rPr>
              <w:t>②</w:t>
            </w:r>
            <w:r>
              <w:rPr>
                <w:rFonts w:ascii="Times New Roman" w:hAnsi="Times New Roman"/>
                <w:szCs w:val="21"/>
              </w:rPr>
              <w:fldChar w:fldCharType="end"/>
            </w:r>
            <w:r>
              <w:rPr>
                <w:rFonts w:ascii="Times New Roman" w:hAnsi="宋体"/>
                <w:szCs w:val="21"/>
              </w:rPr>
              <w:t>师资队伍建设规划执行情况良好，目标达成度高。</w:t>
            </w:r>
          </w:p>
        </w:tc>
        <w:tc>
          <w:tcPr>
            <w:tcW w:w="5103" w:type="dxa"/>
            <w:tcBorders>
              <w:top w:val="single" w:color="auto" w:sz="4" w:space="0"/>
              <w:left w:val="single" w:color="auto" w:sz="4" w:space="0"/>
              <w:bottom w:val="single" w:color="auto" w:sz="4" w:space="0"/>
              <w:right w:val="single" w:color="auto" w:sz="4" w:space="0"/>
            </w:tcBorders>
            <w:vAlign w:val="center"/>
          </w:tcPr>
          <w:p>
            <w:pPr>
              <w:rPr>
                <w:rFonts w:hint="eastAsia" w:ascii="Times New Roman" w:hAnsi="宋体"/>
                <w:szCs w:val="21"/>
              </w:rPr>
            </w:pPr>
            <w:r>
              <w:rPr>
                <w:rFonts w:hint="eastAsia" w:ascii="Times New Roman" w:hAnsi="Times New Roman"/>
                <w:szCs w:val="21"/>
              </w:rPr>
              <w:t>1、学院</w:t>
            </w:r>
            <w:r>
              <w:rPr>
                <w:rFonts w:ascii="Times New Roman" w:hAnsi="宋体"/>
                <w:szCs w:val="21"/>
              </w:rPr>
              <w:t>师资队伍建设规划</w:t>
            </w:r>
            <w:r>
              <w:rPr>
                <w:rFonts w:hint="eastAsia" w:ascii="Times New Roman" w:hAnsi="宋体"/>
                <w:szCs w:val="21"/>
              </w:rPr>
              <w:t>及成效；</w:t>
            </w:r>
          </w:p>
          <w:p>
            <w:pPr>
              <w:rPr>
                <w:rFonts w:hint="eastAsia" w:ascii="Times New Roman" w:hAnsi="宋体"/>
                <w:szCs w:val="21"/>
              </w:rPr>
            </w:pPr>
            <w:r>
              <w:rPr>
                <w:rFonts w:hint="eastAsia" w:ascii="Times New Roman" w:hAnsi="宋体"/>
                <w:szCs w:val="21"/>
              </w:rPr>
              <w:t>2、近三年学院师资队伍</w:t>
            </w:r>
            <w:r>
              <w:rPr>
                <w:rFonts w:ascii="Times New Roman" w:hAnsi="宋体"/>
                <w:szCs w:val="21"/>
              </w:rPr>
              <w:t>年度计划</w:t>
            </w:r>
            <w:r>
              <w:rPr>
                <w:rFonts w:hint="eastAsia" w:ascii="Times New Roman" w:hAnsi="宋体"/>
                <w:szCs w:val="21"/>
              </w:rPr>
              <w:t xml:space="preserve">和工作总结； </w:t>
            </w:r>
          </w:p>
          <w:p>
            <w:pPr>
              <w:rPr>
                <w:rFonts w:hint="eastAsia" w:ascii="Times New Roman" w:hAnsi="宋体"/>
                <w:szCs w:val="21"/>
              </w:rPr>
            </w:pPr>
            <w:r>
              <w:rPr>
                <w:rFonts w:hint="eastAsia" w:ascii="Times New Roman" w:hAnsi="宋体"/>
                <w:szCs w:val="21"/>
              </w:rPr>
              <w:t>3、各院系十二五专业建设规划；</w:t>
            </w:r>
          </w:p>
          <w:p>
            <w:pPr>
              <w:rPr>
                <w:rFonts w:hint="eastAsia" w:ascii="Times New Roman" w:hAnsi="Times New Roman"/>
                <w:szCs w:val="21"/>
              </w:rPr>
            </w:pPr>
            <w:r>
              <w:rPr>
                <w:rFonts w:hint="eastAsia" w:ascii="Times New Roman" w:hAnsi="宋体"/>
                <w:szCs w:val="21"/>
              </w:rPr>
              <w:t>4、</w:t>
            </w:r>
            <w:r>
              <w:rPr>
                <w:rFonts w:hint="eastAsia" w:ascii="Times New Roman" w:hAnsi="Times New Roman"/>
                <w:szCs w:val="21"/>
              </w:rPr>
              <w:t>近三年学院师资队伍结构对比（十二五）一览表（校内专任教师、校内兼课教师、校外兼课兼职教师）；</w:t>
            </w:r>
          </w:p>
          <w:p>
            <w:pPr>
              <w:rPr>
                <w:rFonts w:hint="eastAsia" w:ascii="Times New Roman" w:hAnsi="Times New Roman"/>
                <w:szCs w:val="21"/>
              </w:rPr>
            </w:pPr>
            <w:r>
              <w:rPr>
                <w:rFonts w:hint="eastAsia" w:ascii="Times New Roman" w:hAnsi="Times New Roman"/>
                <w:szCs w:val="21"/>
              </w:rPr>
              <w:t>5、近二年师资培训情况一览表；</w:t>
            </w:r>
          </w:p>
          <w:p>
            <w:pPr>
              <w:rPr>
                <w:rFonts w:ascii="Times New Roman" w:hAnsi="Times New Roman"/>
                <w:szCs w:val="21"/>
              </w:rPr>
            </w:pPr>
            <w:r>
              <w:rPr>
                <w:rFonts w:hint="eastAsia" w:ascii="Times New Roman" w:hAnsi="Times New Roman"/>
                <w:szCs w:val="21"/>
              </w:rPr>
              <w:t>6、专业带头人、骨干教师基本情况表。</w:t>
            </w:r>
          </w:p>
        </w:tc>
        <w:tc>
          <w:tcPr>
            <w:tcW w:w="109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szCs w:val="21"/>
              </w:rPr>
            </w:pPr>
            <w:r>
              <w:rPr>
                <w:rFonts w:hint="eastAsia" w:ascii="Times New Roman" w:hAnsi="Times New Roman"/>
                <w:szCs w:val="21"/>
              </w:rPr>
              <w:t>人事处</w:t>
            </w:r>
          </w:p>
        </w:tc>
        <w:tc>
          <w:tcPr>
            <w:tcW w:w="138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szCs w:val="21"/>
              </w:rPr>
            </w:pPr>
            <w:r>
              <w:rPr>
                <w:rFonts w:hint="eastAsia" w:ascii="Times New Roman" w:hAnsi="Times New Roman"/>
                <w:szCs w:val="21"/>
              </w:rPr>
              <w:t>人事处</w:t>
            </w:r>
          </w:p>
          <w:p>
            <w:pPr>
              <w:jc w:val="center"/>
              <w:rPr>
                <w:rFonts w:hint="eastAsia" w:ascii="Times New Roman" w:hAnsi="Times New Roman"/>
                <w:szCs w:val="21"/>
              </w:rPr>
            </w:pPr>
            <w:r>
              <w:rPr>
                <w:rFonts w:hint="eastAsia" w:ascii="Times New Roman" w:hAnsi="Times New Roman"/>
                <w:szCs w:val="21"/>
              </w:rPr>
              <w:t>教务处</w:t>
            </w:r>
          </w:p>
          <w:p>
            <w:pPr>
              <w:jc w:val="center"/>
              <w:rPr>
                <w:rFonts w:hint="eastAsia" w:ascii="Times New Roman" w:hAnsi="Times New Roman"/>
                <w:szCs w:val="21"/>
              </w:rPr>
            </w:pPr>
            <w:r>
              <w:rPr>
                <w:rFonts w:hint="eastAsia" w:ascii="Times New Roman" w:hAnsi="Times New Roman"/>
                <w:szCs w:val="21"/>
              </w:rPr>
              <w:t>各院系（部）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68" w:hRule="atLeast"/>
          <w:jc w:val="center"/>
        </w:trPr>
        <w:tc>
          <w:tcPr>
            <w:tcW w:w="1004" w:type="dxa"/>
            <w:vMerge w:val="continue"/>
            <w:tcBorders>
              <w:right w:val="single" w:color="auto" w:sz="4" w:space="0"/>
            </w:tcBorders>
            <w:shd w:val="clear" w:color="auto" w:fill="auto"/>
            <w:vAlign w:val="center"/>
          </w:tcPr>
          <w:p>
            <w:pPr>
              <w:jc w:val="center"/>
              <w:rPr>
                <w:rFonts w:ascii="Times New Roman" w:hAnsi="Times New Roman"/>
                <w:szCs w:val="21"/>
              </w:rPr>
            </w:pPr>
          </w:p>
        </w:tc>
        <w:tc>
          <w:tcPr>
            <w:tcW w:w="72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szCs w:val="21"/>
              </w:rPr>
            </w:pPr>
          </w:p>
        </w:tc>
        <w:tc>
          <w:tcPr>
            <w:tcW w:w="89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szCs w:val="21"/>
              </w:rPr>
            </w:pPr>
            <w:r>
              <w:rPr>
                <w:rFonts w:ascii="Times New Roman" w:hAnsi="宋体"/>
                <w:szCs w:val="21"/>
              </w:rPr>
              <w:t>实施保障</w:t>
            </w:r>
          </w:p>
        </w:tc>
        <w:tc>
          <w:tcPr>
            <w:tcW w:w="465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szCs w:val="21"/>
              </w:rPr>
            </w:pPr>
            <w:r>
              <w:rPr>
                <w:rFonts w:ascii="Times New Roman" w:hAnsi="Times New Roman"/>
                <w:szCs w:val="21"/>
              </w:rPr>
              <w:fldChar w:fldCharType="begin"/>
            </w:r>
            <w:r>
              <w:rPr>
                <w:rFonts w:ascii="Times New Roman" w:hAnsi="Times New Roman"/>
                <w:szCs w:val="21"/>
              </w:rPr>
              <w:instrText xml:space="preserve"> = 1 \* GB3 </w:instrText>
            </w:r>
            <w:r>
              <w:rPr>
                <w:rFonts w:ascii="Times New Roman" w:hAnsi="Times New Roman"/>
                <w:szCs w:val="21"/>
              </w:rPr>
              <w:fldChar w:fldCharType="separate"/>
            </w:r>
            <w:r>
              <w:rPr>
                <w:rFonts w:ascii="宋体" w:hAnsi="宋体"/>
                <w:szCs w:val="21"/>
              </w:rPr>
              <w:t>①</w:t>
            </w:r>
            <w:r>
              <w:rPr>
                <w:rFonts w:ascii="Times New Roman" w:hAnsi="Times New Roman"/>
                <w:szCs w:val="21"/>
              </w:rPr>
              <w:fldChar w:fldCharType="end"/>
            </w:r>
            <w:r>
              <w:rPr>
                <w:rFonts w:ascii="Times New Roman" w:hAnsi="宋体"/>
                <w:szCs w:val="21"/>
              </w:rPr>
              <w:t>围绕教学团队建设、专业带头人培养和教师教学水平提升等目标，提供实现师资建设规划目标所必需的外部环境、组织管理、资源支撑、经费等保障。</w:t>
            </w:r>
          </w:p>
        </w:tc>
        <w:tc>
          <w:tcPr>
            <w:tcW w:w="5103" w:type="dxa"/>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szCs w:val="21"/>
              </w:rPr>
            </w:pPr>
            <w:r>
              <w:rPr>
                <w:rFonts w:hint="eastAsia" w:ascii="Times New Roman" w:hAnsi="Times New Roman"/>
                <w:szCs w:val="21"/>
              </w:rPr>
              <w:t>1、地方政府支持学院发展支持的政策文件；</w:t>
            </w:r>
          </w:p>
          <w:p>
            <w:pPr>
              <w:rPr>
                <w:rFonts w:hint="eastAsia" w:ascii="Times New Roman" w:hAnsi="Times New Roman"/>
                <w:szCs w:val="21"/>
              </w:rPr>
            </w:pPr>
            <w:r>
              <w:rPr>
                <w:rFonts w:hint="eastAsia" w:ascii="Times New Roman" w:hAnsi="Times New Roman"/>
                <w:szCs w:val="21"/>
              </w:rPr>
              <w:t>2、关于成立《学院师资队伍建设领导小组》的通知文件；</w:t>
            </w:r>
          </w:p>
          <w:p>
            <w:pPr>
              <w:rPr>
                <w:rFonts w:hint="eastAsia" w:ascii="Times New Roman" w:hAnsi="Times New Roman"/>
                <w:szCs w:val="21"/>
              </w:rPr>
            </w:pPr>
            <w:r>
              <w:rPr>
                <w:rFonts w:hint="eastAsia" w:ascii="Times New Roman" w:hAnsi="Times New Roman"/>
                <w:szCs w:val="21"/>
              </w:rPr>
              <w:t>3、学院出台师资队伍培养相关激励机制等文件；</w:t>
            </w:r>
          </w:p>
          <w:p>
            <w:pPr>
              <w:rPr>
                <w:rFonts w:hint="eastAsia" w:ascii="Times New Roman" w:hAnsi="Times New Roman"/>
                <w:szCs w:val="21"/>
              </w:rPr>
            </w:pPr>
            <w:r>
              <w:rPr>
                <w:rFonts w:hint="eastAsia" w:ascii="Times New Roman" w:hAnsi="Times New Roman"/>
                <w:szCs w:val="21"/>
              </w:rPr>
              <w:t>4、专业带头人、骨干教师等师资培养“三项工程”等政策文件及效果资料；</w:t>
            </w:r>
          </w:p>
          <w:p>
            <w:pPr>
              <w:rPr>
                <w:rFonts w:hint="eastAsia" w:ascii="Times New Roman" w:hAnsi="Times New Roman"/>
                <w:szCs w:val="21"/>
              </w:rPr>
            </w:pPr>
            <w:r>
              <w:rPr>
                <w:rFonts w:hint="eastAsia" w:ascii="Times New Roman" w:hAnsi="Times New Roman"/>
                <w:szCs w:val="21"/>
              </w:rPr>
              <w:t>5、学院制订教师培训、进修、实践锻炼等政策文件；</w:t>
            </w:r>
          </w:p>
          <w:p>
            <w:pPr>
              <w:rPr>
                <w:rFonts w:ascii="Times New Roman" w:hAnsi="Times New Roman"/>
                <w:szCs w:val="21"/>
              </w:rPr>
            </w:pPr>
            <w:r>
              <w:rPr>
                <w:rFonts w:hint="eastAsia" w:ascii="Times New Roman" w:hAnsi="Times New Roman"/>
                <w:szCs w:val="21"/>
              </w:rPr>
              <w:t>6、近二年经费支出（师资队伍建设）一览表。</w:t>
            </w:r>
          </w:p>
        </w:tc>
        <w:tc>
          <w:tcPr>
            <w:tcW w:w="109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szCs w:val="21"/>
              </w:rPr>
            </w:pPr>
            <w:r>
              <w:rPr>
                <w:rFonts w:hint="eastAsia" w:ascii="Times New Roman" w:hAnsi="Times New Roman"/>
                <w:szCs w:val="21"/>
              </w:rPr>
              <w:t>人事处</w:t>
            </w:r>
          </w:p>
        </w:tc>
        <w:tc>
          <w:tcPr>
            <w:tcW w:w="138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szCs w:val="21"/>
              </w:rPr>
            </w:pPr>
            <w:r>
              <w:rPr>
                <w:rFonts w:hint="eastAsia" w:ascii="Times New Roman" w:hAnsi="Times New Roman"/>
                <w:szCs w:val="21"/>
              </w:rPr>
              <w:t>人事处</w:t>
            </w:r>
          </w:p>
          <w:p>
            <w:pPr>
              <w:jc w:val="center"/>
              <w:rPr>
                <w:rFonts w:hint="eastAsia" w:ascii="Times New Roman" w:hAnsi="Times New Roman"/>
                <w:szCs w:val="21"/>
              </w:rPr>
            </w:pPr>
            <w:r>
              <w:rPr>
                <w:rFonts w:hint="eastAsia" w:ascii="Times New Roman" w:hAnsi="Times New Roman"/>
                <w:szCs w:val="21"/>
              </w:rPr>
              <w:t>教务处</w:t>
            </w:r>
          </w:p>
          <w:p>
            <w:pPr>
              <w:jc w:val="center"/>
              <w:rPr>
                <w:rFonts w:hint="eastAsia" w:ascii="Times New Roman" w:hAnsi="Times New Roman"/>
                <w:szCs w:val="21"/>
              </w:rPr>
            </w:pPr>
            <w:r>
              <w:rPr>
                <w:rFonts w:hint="eastAsia" w:ascii="Times New Roman" w:hAnsi="Times New Roman"/>
                <w:szCs w:val="21"/>
              </w:rPr>
              <w:t>财务科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 w:hRule="atLeast"/>
          <w:jc w:val="center"/>
        </w:trPr>
        <w:tc>
          <w:tcPr>
            <w:tcW w:w="1004" w:type="dxa"/>
            <w:vMerge w:val="continue"/>
            <w:tcBorders>
              <w:right w:val="single" w:color="auto" w:sz="4" w:space="0"/>
            </w:tcBorders>
            <w:shd w:val="clear" w:color="auto" w:fill="auto"/>
            <w:vAlign w:val="center"/>
          </w:tcPr>
          <w:p>
            <w:pPr>
              <w:jc w:val="center"/>
              <w:rPr>
                <w:rFonts w:ascii="Times New Roman" w:hAnsi="Times New Roman"/>
                <w:szCs w:val="21"/>
              </w:rPr>
            </w:pPr>
          </w:p>
        </w:tc>
        <w:tc>
          <w:tcPr>
            <w:tcW w:w="72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szCs w:val="21"/>
              </w:rPr>
            </w:pPr>
            <w:r>
              <w:rPr>
                <w:rFonts w:ascii="Times New Roman" w:hAnsi="Times New Roman"/>
                <w:szCs w:val="21"/>
              </w:rPr>
              <w:t>3.2</w:t>
            </w:r>
            <w:r>
              <w:rPr>
                <w:rFonts w:ascii="Times New Roman" w:hAnsi="宋体"/>
                <w:szCs w:val="21"/>
              </w:rPr>
              <w:t>师资建设诊改工作</w:t>
            </w:r>
          </w:p>
        </w:tc>
        <w:tc>
          <w:tcPr>
            <w:tcW w:w="89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szCs w:val="21"/>
              </w:rPr>
            </w:pPr>
            <w:r>
              <w:rPr>
                <w:rFonts w:ascii="Times New Roman" w:hAnsi="宋体"/>
                <w:szCs w:val="21"/>
              </w:rPr>
              <w:t>诊改制度</w:t>
            </w:r>
          </w:p>
        </w:tc>
        <w:tc>
          <w:tcPr>
            <w:tcW w:w="465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szCs w:val="21"/>
              </w:rPr>
            </w:pPr>
            <w:r>
              <w:rPr>
                <w:rFonts w:ascii="Times New Roman" w:hAnsi="Times New Roman"/>
                <w:szCs w:val="21"/>
              </w:rPr>
              <w:fldChar w:fldCharType="begin"/>
            </w:r>
            <w:r>
              <w:rPr>
                <w:rFonts w:ascii="Times New Roman" w:hAnsi="Times New Roman"/>
                <w:szCs w:val="21"/>
              </w:rPr>
              <w:instrText xml:space="preserve"> = 1 \* GB3 </w:instrText>
            </w:r>
            <w:r>
              <w:rPr>
                <w:rFonts w:ascii="Times New Roman" w:hAnsi="Times New Roman"/>
                <w:szCs w:val="21"/>
              </w:rPr>
              <w:fldChar w:fldCharType="separate"/>
            </w:r>
            <w:r>
              <w:rPr>
                <w:rFonts w:ascii="宋体" w:hAnsi="宋体"/>
                <w:szCs w:val="21"/>
              </w:rPr>
              <w:t>①</w:t>
            </w:r>
            <w:r>
              <w:rPr>
                <w:rFonts w:ascii="Times New Roman" w:hAnsi="Times New Roman"/>
                <w:szCs w:val="21"/>
              </w:rPr>
              <w:fldChar w:fldCharType="end"/>
            </w:r>
            <w:r>
              <w:rPr>
                <w:rFonts w:ascii="Times New Roman" w:hAnsi="宋体"/>
                <w:szCs w:val="21"/>
              </w:rPr>
              <w:t>按照专业发展实际制定科学、合理的专兼职教师、专业带头人与骨干教师聘用资格标准，制定并实施专业带头人、骨干教师培养方案及兼职教师队伍建设方案；</w:t>
            </w:r>
          </w:p>
          <w:p>
            <w:pPr>
              <w:rPr>
                <w:rFonts w:ascii="Times New Roman" w:hAnsi="Times New Roman"/>
                <w:szCs w:val="21"/>
              </w:rPr>
            </w:pPr>
            <w:r>
              <w:rPr>
                <w:rFonts w:ascii="Times New Roman" w:hAnsi="Times New Roman"/>
                <w:szCs w:val="21"/>
              </w:rPr>
              <w:fldChar w:fldCharType="begin"/>
            </w:r>
            <w:r>
              <w:rPr>
                <w:rFonts w:ascii="Times New Roman" w:hAnsi="Times New Roman"/>
                <w:szCs w:val="21"/>
              </w:rPr>
              <w:instrText xml:space="preserve"> = 2 \* GB3 </w:instrText>
            </w:r>
            <w:r>
              <w:rPr>
                <w:rFonts w:ascii="Times New Roman" w:hAnsi="Times New Roman"/>
                <w:szCs w:val="21"/>
              </w:rPr>
              <w:fldChar w:fldCharType="separate"/>
            </w:r>
            <w:r>
              <w:rPr>
                <w:rFonts w:ascii="宋体" w:hAnsi="宋体"/>
                <w:szCs w:val="21"/>
              </w:rPr>
              <w:t>②</w:t>
            </w:r>
            <w:r>
              <w:rPr>
                <w:rFonts w:ascii="Times New Roman" w:hAnsi="Times New Roman"/>
                <w:szCs w:val="21"/>
              </w:rPr>
              <w:fldChar w:fldCharType="end"/>
            </w:r>
            <w:r>
              <w:rPr>
                <w:rFonts w:ascii="Times New Roman" w:hAnsi="宋体"/>
                <w:szCs w:val="21"/>
              </w:rPr>
              <w:t>对照师资队伍建设规划和年度计划，定期开展对师资队伍建设成效的诊改，形成常态化的师资质量保证机制。</w:t>
            </w:r>
          </w:p>
        </w:tc>
        <w:tc>
          <w:tcPr>
            <w:tcW w:w="5103" w:type="dxa"/>
            <w:tcBorders>
              <w:top w:val="single" w:color="auto" w:sz="4" w:space="0"/>
              <w:left w:val="single" w:color="auto" w:sz="4" w:space="0"/>
              <w:bottom w:val="single" w:color="auto" w:sz="4" w:space="0"/>
              <w:right w:val="single" w:color="auto" w:sz="4" w:space="0"/>
            </w:tcBorders>
            <w:vAlign w:val="center"/>
          </w:tcPr>
          <w:p>
            <w:pPr>
              <w:rPr>
                <w:rFonts w:hint="eastAsia" w:ascii="Times New Roman" w:hAnsi="宋体"/>
                <w:szCs w:val="21"/>
              </w:rPr>
            </w:pPr>
            <w:r>
              <w:rPr>
                <w:rFonts w:hint="eastAsia" w:ascii="Times New Roman" w:hAnsi="Times New Roman"/>
                <w:szCs w:val="21"/>
              </w:rPr>
              <w:t>1、学院制定《</w:t>
            </w:r>
            <w:r>
              <w:rPr>
                <w:rFonts w:ascii="Times New Roman" w:hAnsi="宋体"/>
                <w:szCs w:val="21"/>
              </w:rPr>
              <w:t>专兼职教师、专业带头人与骨干教师聘用资格标准</w:t>
            </w:r>
            <w:r>
              <w:rPr>
                <w:rFonts w:hint="eastAsia" w:ascii="Times New Roman" w:hAnsi="宋体"/>
                <w:szCs w:val="21"/>
              </w:rPr>
              <w:t>》；</w:t>
            </w:r>
          </w:p>
          <w:p>
            <w:pPr>
              <w:rPr>
                <w:rFonts w:hint="eastAsia" w:ascii="Times New Roman" w:hAnsi="宋体"/>
                <w:szCs w:val="21"/>
              </w:rPr>
            </w:pPr>
            <w:r>
              <w:rPr>
                <w:rFonts w:hint="eastAsia" w:ascii="Times New Roman" w:hAnsi="Times New Roman"/>
                <w:szCs w:val="21"/>
              </w:rPr>
              <w:t>2、《学院</w:t>
            </w:r>
            <w:r>
              <w:rPr>
                <w:rFonts w:ascii="Times New Roman" w:hAnsi="宋体"/>
                <w:szCs w:val="21"/>
              </w:rPr>
              <w:t>专业带头人、骨干教师培养方案及兼职教师队伍建设方案</w:t>
            </w:r>
            <w:r>
              <w:rPr>
                <w:rFonts w:hint="eastAsia" w:ascii="Times New Roman" w:hAnsi="宋体"/>
                <w:szCs w:val="21"/>
              </w:rPr>
              <w:t>》等文件；</w:t>
            </w:r>
          </w:p>
          <w:p>
            <w:pPr>
              <w:rPr>
                <w:rFonts w:hint="eastAsia" w:ascii="Times New Roman" w:hAnsi="宋体"/>
                <w:szCs w:val="21"/>
              </w:rPr>
            </w:pPr>
            <w:r>
              <w:rPr>
                <w:rFonts w:hint="eastAsia" w:ascii="Times New Roman" w:hAnsi="宋体"/>
                <w:szCs w:val="21"/>
              </w:rPr>
              <w:t>3、学院每年教师招聘计划及相关资料；</w:t>
            </w:r>
          </w:p>
          <w:p>
            <w:pPr>
              <w:rPr>
                <w:rFonts w:hint="eastAsia" w:ascii="Times New Roman" w:hAnsi="宋体"/>
                <w:szCs w:val="21"/>
              </w:rPr>
            </w:pPr>
            <w:r>
              <w:rPr>
                <w:rFonts w:hint="eastAsia" w:ascii="Times New Roman" w:hAnsi="宋体"/>
                <w:szCs w:val="21"/>
              </w:rPr>
              <w:t>4、按年度计划进行师资队伍建设工作总结，并提出整改措施；</w:t>
            </w:r>
          </w:p>
          <w:p>
            <w:pPr>
              <w:rPr>
                <w:rFonts w:ascii="Times New Roman" w:hAnsi="宋体"/>
                <w:szCs w:val="21"/>
              </w:rPr>
            </w:pPr>
            <w:r>
              <w:rPr>
                <w:rFonts w:hint="eastAsia" w:ascii="Times New Roman" w:hAnsi="宋体"/>
                <w:szCs w:val="21"/>
              </w:rPr>
              <w:t>5、学院二级量化考核资料（人事处考核部分）。</w:t>
            </w:r>
          </w:p>
        </w:tc>
        <w:tc>
          <w:tcPr>
            <w:tcW w:w="109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szCs w:val="21"/>
              </w:rPr>
            </w:pPr>
            <w:r>
              <w:rPr>
                <w:rFonts w:hint="eastAsia" w:ascii="Times New Roman" w:hAnsi="Times New Roman"/>
                <w:szCs w:val="21"/>
              </w:rPr>
              <w:t>人事处</w:t>
            </w:r>
          </w:p>
        </w:tc>
        <w:tc>
          <w:tcPr>
            <w:tcW w:w="138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szCs w:val="21"/>
              </w:rPr>
            </w:pPr>
            <w:r>
              <w:rPr>
                <w:rFonts w:hint="eastAsia" w:ascii="Times New Roman" w:hAnsi="Times New Roman"/>
                <w:szCs w:val="21"/>
              </w:rPr>
              <w:t>人事处</w:t>
            </w:r>
          </w:p>
          <w:p>
            <w:pPr>
              <w:jc w:val="center"/>
              <w:rPr>
                <w:rFonts w:hint="eastAsia" w:ascii="Times New Roman" w:hAnsi="Times New Roman"/>
                <w:szCs w:val="21"/>
              </w:rPr>
            </w:pPr>
            <w:r>
              <w:rPr>
                <w:rFonts w:hint="eastAsia" w:ascii="Times New Roman" w:hAnsi="Times New Roman"/>
                <w:szCs w:val="21"/>
              </w:rPr>
              <w:t>教务处</w:t>
            </w:r>
          </w:p>
          <w:p>
            <w:pPr>
              <w:jc w:val="center"/>
              <w:rPr>
                <w:rFonts w:hint="eastAsia" w:ascii="Times New Roman" w:hAnsi="Times New Roman"/>
                <w:szCs w:val="21"/>
              </w:rPr>
            </w:pPr>
            <w:r>
              <w:rPr>
                <w:rFonts w:hint="eastAsia" w:ascii="Times New Roman" w:hAnsi="Times New Roman"/>
                <w:szCs w:val="21"/>
              </w:rPr>
              <w:t>党工部</w:t>
            </w:r>
          </w:p>
          <w:p>
            <w:pPr>
              <w:jc w:val="center"/>
              <w:rPr>
                <w:rFonts w:hint="eastAsia" w:ascii="Times New Roman" w:hAnsi="Times New Roman"/>
                <w:szCs w:val="21"/>
              </w:rPr>
            </w:pPr>
            <w:r>
              <w:rPr>
                <w:rFonts w:hint="eastAsia" w:ascii="Times New Roman" w:hAnsi="Times New Roman"/>
                <w:szCs w:val="21"/>
              </w:rPr>
              <w:t>各院系（部）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2" w:hRule="atLeast"/>
          <w:jc w:val="center"/>
        </w:trPr>
        <w:tc>
          <w:tcPr>
            <w:tcW w:w="1004" w:type="dxa"/>
            <w:vMerge w:val="continue"/>
            <w:tcBorders>
              <w:right w:val="single" w:color="auto" w:sz="4" w:space="0"/>
            </w:tcBorders>
            <w:shd w:val="clear" w:color="auto" w:fill="auto"/>
            <w:vAlign w:val="center"/>
          </w:tcPr>
          <w:p>
            <w:pPr>
              <w:jc w:val="center"/>
              <w:rPr>
                <w:rFonts w:ascii="Times New Roman" w:hAnsi="Times New Roman"/>
                <w:szCs w:val="21"/>
              </w:rPr>
            </w:pPr>
          </w:p>
        </w:tc>
        <w:tc>
          <w:tcPr>
            <w:tcW w:w="72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szCs w:val="21"/>
              </w:rPr>
            </w:pPr>
          </w:p>
        </w:tc>
        <w:tc>
          <w:tcPr>
            <w:tcW w:w="89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szCs w:val="21"/>
              </w:rPr>
            </w:pPr>
            <w:r>
              <w:rPr>
                <w:rFonts w:ascii="Times New Roman" w:hAnsi="宋体"/>
                <w:szCs w:val="21"/>
              </w:rPr>
              <w:t>实施效果</w:t>
            </w:r>
          </w:p>
        </w:tc>
        <w:tc>
          <w:tcPr>
            <w:tcW w:w="465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szCs w:val="21"/>
              </w:rPr>
            </w:pPr>
            <w:r>
              <w:rPr>
                <w:rFonts w:ascii="Times New Roman" w:hAnsi="Times New Roman"/>
                <w:szCs w:val="21"/>
              </w:rPr>
              <w:fldChar w:fldCharType="begin"/>
            </w:r>
            <w:r>
              <w:rPr>
                <w:rFonts w:ascii="Times New Roman" w:hAnsi="Times New Roman"/>
                <w:szCs w:val="21"/>
              </w:rPr>
              <w:instrText xml:space="preserve"> = 1 \* GB3 </w:instrText>
            </w:r>
            <w:r>
              <w:rPr>
                <w:rFonts w:ascii="Times New Roman" w:hAnsi="Times New Roman"/>
                <w:szCs w:val="21"/>
              </w:rPr>
              <w:fldChar w:fldCharType="separate"/>
            </w:r>
            <w:r>
              <w:rPr>
                <w:rFonts w:ascii="宋体" w:hAnsi="宋体"/>
                <w:szCs w:val="21"/>
              </w:rPr>
              <w:t>①</w:t>
            </w:r>
            <w:r>
              <w:rPr>
                <w:rFonts w:ascii="Times New Roman" w:hAnsi="Times New Roman"/>
                <w:szCs w:val="21"/>
              </w:rPr>
              <w:fldChar w:fldCharType="end"/>
            </w:r>
            <w:r>
              <w:rPr>
                <w:rFonts w:ascii="Times New Roman" w:hAnsi="宋体"/>
                <w:szCs w:val="21"/>
              </w:rPr>
              <w:t>在诊改工作的推动下，教师质量意识得到明显提升，教学改革主动性不断加强，教师参与教育教学改革项目的项目数和参与人数逐年增加；</w:t>
            </w:r>
          </w:p>
          <w:p>
            <w:pPr>
              <w:rPr>
                <w:rFonts w:ascii="Times New Roman" w:hAnsi="Times New Roman"/>
                <w:szCs w:val="21"/>
              </w:rPr>
            </w:pPr>
            <w:r>
              <w:rPr>
                <w:rFonts w:ascii="Times New Roman" w:hAnsi="Times New Roman"/>
                <w:szCs w:val="21"/>
              </w:rPr>
              <w:fldChar w:fldCharType="begin"/>
            </w:r>
            <w:r>
              <w:rPr>
                <w:rFonts w:ascii="Times New Roman" w:hAnsi="Times New Roman"/>
                <w:szCs w:val="21"/>
              </w:rPr>
              <w:instrText xml:space="preserve"> = 2 \* GB3 </w:instrText>
            </w:r>
            <w:r>
              <w:rPr>
                <w:rFonts w:ascii="Times New Roman" w:hAnsi="Times New Roman"/>
                <w:szCs w:val="21"/>
              </w:rPr>
              <w:fldChar w:fldCharType="separate"/>
            </w:r>
            <w:r>
              <w:rPr>
                <w:rFonts w:ascii="宋体" w:hAnsi="宋体"/>
                <w:szCs w:val="21"/>
              </w:rPr>
              <w:t>②</w:t>
            </w:r>
            <w:r>
              <w:rPr>
                <w:rFonts w:ascii="Times New Roman" w:hAnsi="Times New Roman"/>
                <w:szCs w:val="21"/>
              </w:rPr>
              <w:fldChar w:fldCharType="end"/>
            </w:r>
            <w:r>
              <w:rPr>
                <w:rFonts w:ascii="Times New Roman" w:hAnsi="宋体"/>
                <w:szCs w:val="21"/>
              </w:rPr>
              <w:t>师资队伍数量、结构能满足学校教育教学的要求并得到不断优化，教师队伍在教学、科研、技术开发、社会服务等方面成果显著，教师队伍特别是高层次人才流失率低，具有较高的稳定性；</w:t>
            </w:r>
          </w:p>
          <w:p>
            <w:pPr>
              <w:rPr>
                <w:rFonts w:ascii="Times New Roman" w:hAnsi="Times New Roman"/>
                <w:szCs w:val="21"/>
              </w:rPr>
            </w:pPr>
            <w:r>
              <w:rPr>
                <w:rFonts w:ascii="Times New Roman" w:hAnsi="Times New Roman"/>
                <w:szCs w:val="21"/>
              </w:rPr>
              <w:fldChar w:fldCharType="begin"/>
            </w:r>
            <w:r>
              <w:rPr>
                <w:rFonts w:ascii="Times New Roman" w:hAnsi="Times New Roman"/>
                <w:szCs w:val="21"/>
              </w:rPr>
              <w:instrText xml:space="preserve"> = 3 \* GB3 </w:instrText>
            </w:r>
            <w:r>
              <w:rPr>
                <w:rFonts w:ascii="Times New Roman" w:hAnsi="Times New Roman"/>
                <w:szCs w:val="21"/>
              </w:rPr>
              <w:fldChar w:fldCharType="separate"/>
            </w:r>
            <w:r>
              <w:rPr>
                <w:rFonts w:ascii="宋体" w:hAnsi="宋体"/>
                <w:szCs w:val="21"/>
              </w:rPr>
              <w:t>③</w:t>
            </w:r>
            <w:r>
              <w:rPr>
                <w:rFonts w:ascii="Times New Roman" w:hAnsi="Times New Roman"/>
                <w:szCs w:val="21"/>
              </w:rPr>
              <w:fldChar w:fldCharType="end"/>
            </w:r>
            <w:r>
              <w:rPr>
                <w:rFonts w:ascii="Times New Roman" w:hAnsi="宋体"/>
                <w:szCs w:val="21"/>
              </w:rPr>
              <w:t>每年定期开展针对在校学生、毕业生的满意度调查，学生满意度得到持续提升。</w:t>
            </w:r>
          </w:p>
        </w:tc>
        <w:tc>
          <w:tcPr>
            <w:tcW w:w="5103" w:type="dxa"/>
            <w:tcBorders>
              <w:top w:val="single" w:color="auto" w:sz="4" w:space="0"/>
              <w:left w:val="single" w:color="auto" w:sz="4" w:space="0"/>
              <w:bottom w:val="single" w:color="auto" w:sz="4" w:space="0"/>
              <w:right w:val="single" w:color="auto" w:sz="4" w:space="0"/>
            </w:tcBorders>
            <w:vAlign w:val="center"/>
          </w:tcPr>
          <w:p>
            <w:pPr>
              <w:spacing w:line="260" w:lineRule="exact"/>
              <w:rPr>
                <w:rFonts w:hint="eastAsia" w:ascii="Times New Roman" w:hAnsi="Times New Roman"/>
                <w:szCs w:val="21"/>
              </w:rPr>
            </w:pPr>
            <w:r>
              <w:rPr>
                <w:rFonts w:hint="eastAsia" w:ascii="Times New Roman" w:hAnsi="Times New Roman"/>
                <w:szCs w:val="21"/>
              </w:rPr>
              <w:t>1、学院教学内容改革的相关资料；</w:t>
            </w:r>
          </w:p>
          <w:p>
            <w:pPr>
              <w:spacing w:line="260" w:lineRule="exact"/>
              <w:rPr>
                <w:rFonts w:hint="eastAsia" w:ascii="Times New Roman" w:hAnsi="Times New Roman"/>
                <w:szCs w:val="21"/>
              </w:rPr>
            </w:pPr>
            <w:r>
              <w:rPr>
                <w:rFonts w:hint="eastAsia" w:ascii="Times New Roman" w:hAnsi="Times New Roman"/>
                <w:szCs w:val="21"/>
              </w:rPr>
              <w:t>2、近二年数据采集师资队伍情况一览表（校内专任教师、校内兼课教师、校外兼课教师、校外兼职教师）；</w:t>
            </w:r>
          </w:p>
          <w:p>
            <w:pPr>
              <w:spacing w:line="260" w:lineRule="exact"/>
              <w:rPr>
                <w:rFonts w:hint="eastAsia" w:ascii="Times New Roman" w:hAnsi="Times New Roman"/>
                <w:szCs w:val="21"/>
              </w:rPr>
            </w:pPr>
            <w:r>
              <w:rPr>
                <w:rFonts w:hint="eastAsia" w:ascii="Times New Roman" w:hAnsi="Times New Roman"/>
                <w:szCs w:val="21"/>
              </w:rPr>
              <w:t>3、专业课教师社会服务情况及相关资料；</w:t>
            </w:r>
          </w:p>
          <w:p>
            <w:pPr>
              <w:spacing w:line="260" w:lineRule="exact"/>
              <w:rPr>
                <w:rFonts w:hint="eastAsia" w:ascii="Times New Roman" w:hAnsi="Times New Roman"/>
                <w:szCs w:val="21"/>
              </w:rPr>
            </w:pPr>
            <w:r>
              <w:rPr>
                <w:rFonts w:hint="eastAsia" w:ascii="Times New Roman" w:hAnsi="Times New Roman"/>
                <w:szCs w:val="21"/>
              </w:rPr>
              <w:t>4、专业教师在协会或学会任职佐证资料；</w:t>
            </w:r>
          </w:p>
          <w:p>
            <w:pPr>
              <w:spacing w:line="260" w:lineRule="exact"/>
              <w:rPr>
                <w:rFonts w:hint="eastAsia" w:ascii="Times New Roman" w:hAnsi="Times New Roman"/>
                <w:szCs w:val="21"/>
              </w:rPr>
            </w:pPr>
            <w:r>
              <w:rPr>
                <w:rFonts w:hint="eastAsia" w:ascii="Times New Roman" w:hAnsi="Times New Roman"/>
                <w:szCs w:val="21"/>
              </w:rPr>
              <w:t>5、分学年教师主持（或参与）在研横向技术开发课题汇总表；</w:t>
            </w:r>
          </w:p>
          <w:p>
            <w:pPr>
              <w:spacing w:line="260" w:lineRule="exact"/>
              <w:rPr>
                <w:rFonts w:hint="eastAsia" w:ascii="Times New Roman" w:hAnsi="Times New Roman"/>
                <w:szCs w:val="21"/>
              </w:rPr>
            </w:pPr>
            <w:r>
              <w:rPr>
                <w:rFonts w:hint="eastAsia" w:ascii="Times New Roman" w:hAnsi="Times New Roman"/>
                <w:szCs w:val="21"/>
              </w:rPr>
              <w:t>6、分学年专任教师为行业企业技术服务汇总统计表；</w:t>
            </w:r>
          </w:p>
          <w:p>
            <w:pPr>
              <w:spacing w:line="260" w:lineRule="exact"/>
              <w:rPr>
                <w:rFonts w:hint="eastAsia" w:ascii="Times New Roman" w:hAnsi="Times New Roman"/>
                <w:szCs w:val="21"/>
              </w:rPr>
            </w:pPr>
            <w:r>
              <w:rPr>
                <w:rFonts w:hint="eastAsia" w:ascii="Times New Roman" w:hAnsi="Times New Roman"/>
                <w:szCs w:val="21"/>
              </w:rPr>
              <w:t>7、为校企合作的企业提供技术服务的资料；</w:t>
            </w:r>
          </w:p>
          <w:p>
            <w:pPr>
              <w:spacing w:line="260" w:lineRule="exact"/>
              <w:rPr>
                <w:rFonts w:hint="eastAsia" w:ascii="Times New Roman" w:hAnsi="Times New Roman"/>
                <w:szCs w:val="21"/>
              </w:rPr>
            </w:pPr>
            <w:r>
              <w:rPr>
                <w:rFonts w:hint="eastAsia" w:ascii="Times New Roman" w:hAnsi="Times New Roman"/>
                <w:szCs w:val="21"/>
              </w:rPr>
              <w:t>8、专业带头人、骨干教师基本情况表；</w:t>
            </w:r>
          </w:p>
          <w:p>
            <w:pPr>
              <w:spacing w:line="260" w:lineRule="exact"/>
              <w:rPr>
                <w:rFonts w:hint="eastAsia" w:ascii="Times New Roman" w:hAnsi="Times New Roman"/>
                <w:szCs w:val="21"/>
              </w:rPr>
            </w:pPr>
            <w:r>
              <w:rPr>
                <w:rFonts w:hint="eastAsia" w:ascii="Times New Roman" w:hAnsi="Times New Roman"/>
                <w:szCs w:val="21"/>
              </w:rPr>
              <w:t>9、学校面向在校生开展的学生满意度调查分析报告；</w:t>
            </w:r>
          </w:p>
          <w:p>
            <w:pPr>
              <w:spacing w:line="260" w:lineRule="exact"/>
              <w:rPr>
                <w:rFonts w:ascii="Times New Roman" w:hAnsi="Times New Roman"/>
                <w:szCs w:val="21"/>
              </w:rPr>
            </w:pPr>
            <w:r>
              <w:rPr>
                <w:rFonts w:hint="eastAsia" w:ascii="Times New Roman" w:hAnsi="Times New Roman"/>
                <w:szCs w:val="21"/>
              </w:rPr>
              <w:t>10、学校面向近3届毕业生开展的学生满意度调查分析报告。</w:t>
            </w:r>
          </w:p>
        </w:tc>
        <w:tc>
          <w:tcPr>
            <w:tcW w:w="109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szCs w:val="21"/>
              </w:rPr>
            </w:pPr>
            <w:r>
              <w:rPr>
                <w:rFonts w:hint="eastAsia" w:ascii="Times New Roman" w:hAnsi="Times New Roman"/>
                <w:szCs w:val="21"/>
              </w:rPr>
              <w:t>人事处</w:t>
            </w:r>
          </w:p>
        </w:tc>
        <w:tc>
          <w:tcPr>
            <w:tcW w:w="138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szCs w:val="21"/>
              </w:rPr>
            </w:pPr>
            <w:r>
              <w:rPr>
                <w:rFonts w:hint="eastAsia" w:ascii="Times New Roman" w:hAnsi="Times New Roman"/>
                <w:szCs w:val="21"/>
              </w:rPr>
              <w:t>人事处</w:t>
            </w:r>
          </w:p>
          <w:p>
            <w:pPr>
              <w:jc w:val="center"/>
              <w:rPr>
                <w:rFonts w:hint="eastAsia" w:ascii="Times New Roman" w:hAnsi="Times New Roman"/>
                <w:szCs w:val="21"/>
              </w:rPr>
            </w:pPr>
            <w:r>
              <w:rPr>
                <w:rFonts w:hint="eastAsia" w:ascii="Times New Roman" w:hAnsi="Times New Roman"/>
                <w:szCs w:val="21"/>
              </w:rPr>
              <w:t>教务处</w:t>
            </w:r>
          </w:p>
          <w:p>
            <w:pPr>
              <w:jc w:val="center"/>
              <w:rPr>
                <w:rFonts w:hint="eastAsia" w:ascii="Times New Roman" w:hAnsi="Times New Roman"/>
                <w:szCs w:val="21"/>
              </w:rPr>
            </w:pPr>
            <w:r>
              <w:rPr>
                <w:rFonts w:hint="eastAsia" w:ascii="Times New Roman" w:hAnsi="Times New Roman"/>
                <w:szCs w:val="21"/>
              </w:rPr>
              <w:t>科研所</w:t>
            </w:r>
          </w:p>
          <w:p>
            <w:pPr>
              <w:jc w:val="center"/>
              <w:rPr>
                <w:rFonts w:hint="eastAsia" w:ascii="Times New Roman" w:hAnsi="Times New Roman"/>
                <w:szCs w:val="21"/>
              </w:rPr>
            </w:pPr>
            <w:r>
              <w:rPr>
                <w:rFonts w:hint="eastAsia" w:ascii="Times New Roman" w:hAnsi="Times New Roman"/>
                <w:szCs w:val="21"/>
              </w:rPr>
              <w:t>学工处</w:t>
            </w:r>
          </w:p>
          <w:p>
            <w:pPr>
              <w:jc w:val="center"/>
              <w:rPr>
                <w:rFonts w:hint="eastAsia" w:ascii="Times New Roman" w:hAnsi="Times New Roman"/>
                <w:szCs w:val="21"/>
              </w:rPr>
            </w:pPr>
            <w:r>
              <w:rPr>
                <w:rFonts w:hint="eastAsia" w:ascii="Times New Roman" w:hAnsi="Times New Roman"/>
                <w:szCs w:val="21"/>
              </w:rPr>
              <w:t>招就处</w:t>
            </w:r>
          </w:p>
          <w:p>
            <w:pPr>
              <w:jc w:val="center"/>
              <w:rPr>
                <w:rFonts w:hint="eastAsia" w:ascii="Times New Roman" w:hAnsi="Times New Roman"/>
                <w:szCs w:val="21"/>
              </w:rPr>
            </w:pPr>
            <w:r>
              <w:rPr>
                <w:rFonts w:hint="eastAsia" w:ascii="Times New Roman" w:hAnsi="Times New Roman"/>
                <w:szCs w:val="21"/>
              </w:rPr>
              <w:t>团  委</w:t>
            </w:r>
          </w:p>
          <w:p>
            <w:pPr>
              <w:jc w:val="center"/>
              <w:rPr>
                <w:rFonts w:hint="eastAsia" w:ascii="Times New Roman" w:hAnsi="Times New Roman"/>
                <w:szCs w:val="21"/>
              </w:rPr>
            </w:pPr>
            <w:r>
              <w:rPr>
                <w:rFonts w:hint="eastAsia" w:ascii="Times New Roman" w:hAnsi="Times New Roman"/>
                <w:szCs w:val="21"/>
              </w:rPr>
              <w:t>党工部</w:t>
            </w:r>
          </w:p>
          <w:p>
            <w:pPr>
              <w:jc w:val="center"/>
              <w:rPr>
                <w:rFonts w:hint="eastAsia" w:ascii="Times New Roman" w:hAnsi="Times New Roman"/>
                <w:szCs w:val="21"/>
              </w:rPr>
            </w:pPr>
            <w:r>
              <w:rPr>
                <w:rFonts w:hint="eastAsia" w:ascii="Times New Roman" w:hAnsi="Times New Roman"/>
                <w:szCs w:val="21"/>
              </w:rPr>
              <w:t>各院系（部）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59" w:hRule="atLeast"/>
          <w:jc w:val="center"/>
        </w:trPr>
        <w:tc>
          <w:tcPr>
            <w:tcW w:w="1004" w:type="dxa"/>
            <w:vMerge w:val="restart"/>
            <w:tcBorders>
              <w:right w:val="single" w:color="auto" w:sz="4" w:space="0"/>
            </w:tcBorders>
            <w:shd w:val="clear" w:color="auto" w:fill="auto"/>
            <w:vAlign w:val="center"/>
          </w:tcPr>
          <w:p>
            <w:pPr>
              <w:jc w:val="center"/>
              <w:rPr>
                <w:rFonts w:ascii="Times New Roman" w:hAnsi="宋体"/>
                <w:b/>
                <w:sz w:val="24"/>
              </w:rPr>
            </w:pPr>
            <w:r>
              <w:rPr>
                <w:rFonts w:ascii="Times New Roman" w:hAnsi="Times New Roman"/>
                <w:b/>
                <w:sz w:val="24"/>
              </w:rPr>
              <w:t xml:space="preserve">4 </w:t>
            </w:r>
            <w:r>
              <w:rPr>
                <w:rFonts w:ascii="Times New Roman" w:hAnsi="宋体"/>
                <w:b/>
                <w:sz w:val="24"/>
              </w:rPr>
              <w:t>学生全面发展保证</w:t>
            </w:r>
            <w:r>
              <w:rPr>
                <w:rFonts w:hint="eastAsia" w:ascii="Times New Roman" w:hAnsi="Times New Roman"/>
                <w:b/>
                <w:sz w:val="24"/>
              </w:rPr>
              <w:t>（负责部门：学工处）</w:t>
            </w:r>
          </w:p>
        </w:tc>
        <w:tc>
          <w:tcPr>
            <w:tcW w:w="72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szCs w:val="21"/>
              </w:rPr>
            </w:pPr>
            <w:r>
              <w:rPr>
                <w:rFonts w:ascii="Times New Roman" w:hAnsi="Times New Roman"/>
                <w:szCs w:val="21"/>
              </w:rPr>
              <w:t>4.1</w:t>
            </w:r>
            <w:r>
              <w:rPr>
                <w:rFonts w:ascii="Times New Roman" w:hAnsi="宋体"/>
                <w:szCs w:val="21"/>
              </w:rPr>
              <w:t>育人体系</w:t>
            </w:r>
          </w:p>
        </w:tc>
        <w:tc>
          <w:tcPr>
            <w:tcW w:w="89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szCs w:val="21"/>
              </w:rPr>
            </w:pPr>
            <w:r>
              <w:rPr>
                <w:rFonts w:ascii="Times New Roman" w:hAnsi="宋体"/>
                <w:szCs w:val="21"/>
              </w:rPr>
              <w:t>育人规划</w:t>
            </w:r>
          </w:p>
        </w:tc>
        <w:tc>
          <w:tcPr>
            <w:tcW w:w="465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szCs w:val="21"/>
              </w:rPr>
            </w:pPr>
            <w:r>
              <w:rPr>
                <w:rFonts w:ascii="Times New Roman" w:hAnsi="Times New Roman"/>
                <w:szCs w:val="21"/>
              </w:rPr>
              <w:fldChar w:fldCharType="begin"/>
            </w:r>
            <w:r>
              <w:rPr>
                <w:rFonts w:ascii="Times New Roman" w:hAnsi="Times New Roman"/>
                <w:szCs w:val="21"/>
              </w:rPr>
              <w:instrText xml:space="preserve"> = 1 \* GB3 </w:instrText>
            </w:r>
            <w:r>
              <w:rPr>
                <w:rFonts w:ascii="Times New Roman" w:hAnsi="Times New Roman"/>
                <w:szCs w:val="21"/>
              </w:rPr>
              <w:fldChar w:fldCharType="separate"/>
            </w:r>
            <w:r>
              <w:rPr>
                <w:rFonts w:ascii="宋体" w:hAnsi="宋体"/>
                <w:szCs w:val="21"/>
              </w:rPr>
              <w:t>①</w:t>
            </w:r>
            <w:r>
              <w:rPr>
                <w:rFonts w:ascii="Times New Roman" w:hAnsi="Times New Roman"/>
                <w:szCs w:val="21"/>
              </w:rPr>
              <w:fldChar w:fldCharType="end"/>
            </w:r>
            <w:r>
              <w:rPr>
                <w:rFonts w:ascii="Times New Roman" w:hAnsi="宋体"/>
                <w:szCs w:val="21"/>
              </w:rPr>
              <w:t>制定符合学生身心发展规律，包含思想道德品质、专业素质、身心素质和实践创新能力等方面的综合素质标准；</w:t>
            </w:r>
          </w:p>
          <w:p>
            <w:pPr>
              <w:rPr>
                <w:rFonts w:ascii="Times New Roman" w:hAnsi="Times New Roman"/>
                <w:szCs w:val="21"/>
              </w:rPr>
            </w:pPr>
            <w:r>
              <w:rPr>
                <w:rFonts w:ascii="Times New Roman" w:hAnsi="Times New Roman"/>
                <w:szCs w:val="21"/>
              </w:rPr>
              <w:fldChar w:fldCharType="begin"/>
            </w:r>
            <w:r>
              <w:rPr>
                <w:rFonts w:ascii="Times New Roman" w:hAnsi="Times New Roman"/>
                <w:szCs w:val="21"/>
              </w:rPr>
              <w:instrText xml:space="preserve"> = 2 \* GB3 </w:instrText>
            </w:r>
            <w:r>
              <w:rPr>
                <w:rFonts w:ascii="Times New Roman" w:hAnsi="Times New Roman"/>
                <w:szCs w:val="21"/>
              </w:rPr>
              <w:fldChar w:fldCharType="separate"/>
            </w:r>
            <w:r>
              <w:rPr>
                <w:rFonts w:ascii="宋体" w:hAnsi="宋体"/>
                <w:szCs w:val="21"/>
              </w:rPr>
              <w:t>②</w:t>
            </w:r>
            <w:r>
              <w:rPr>
                <w:rFonts w:ascii="Times New Roman" w:hAnsi="Times New Roman"/>
                <w:szCs w:val="21"/>
              </w:rPr>
              <w:fldChar w:fldCharType="end"/>
            </w:r>
            <w:r>
              <w:rPr>
                <w:rFonts w:ascii="Times New Roman" w:hAnsi="宋体"/>
                <w:szCs w:val="21"/>
              </w:rPr>
              <w:t>重视学生综合素质的养成，把人文素养和职业精神教育作为学生素质教育方案的重要内容，学生素质教育方案科学、合理，培养目标定位准确，注重分类培养与分层教学；</w:t>
            </w:r>
          </w:p>
          <w:p>
            <w:pPr>
              <w:rPr>
                <w:rFonts w:ascii="Times New Roman" w:hAnsi="Times New Roman"/>
                <w:szCs w:val="21"/>
              </w:rPr>
            </w:pPr>
            <w:r>
              <w:rPr>
                <w:rFonts w:ascii="Times New Roman" w:hAnsi="Times New Roman"/>
                <w:szCs w:val="21"/>
              </w:rPr>
              <w:fldChar w:fldCharType="begin"/>
            </w:r>
            <w:r>
              <w:rPr>
                <w:rFonts w:ascii="Times New Roman" w:hAnsi="Times New Roman"/>
                <w:szCs w:val="21"/>
              </w:rPr>
              <w:instrText xml:space="preserve"> = 3 \* GB3 </w:instrText>
            </w:r>
            <w:r>
              <w:rPr>
                <w:rFonts w:ascii="Times New Roman" w:hAnsi="Times New Roman"/>
                <w:szCs w:val="21"/>
              </w:rPr>
              <w:fldChar w:fldCharType="separate"/>
            </w:r>
            <w:r>
              <w:rPr>
                <w:rFonts w:ascii="宋体" w:hAnsi="宋体"/>
                <w:szCs w:val="21"/>
              </w:rPr>
              <w:t>③</w:t>
            </w:r>
            <w:r>
              <w:rPr>
                <w:rFonts w:ascii="Times New Roman" w:hAnsi="Times New Roman"/>
                <w:szCs w:val="21"/>
              </w:rPr>
              <w:fldChar w:fldCharType="end"/>
            </w:r>
            <w:r>
              <w:rPr>
                <w:rFonts w:ascii="Times New Roman" w:hAnsi="宋体"/>
                <w:szCs w:val="21"/>
              </w:rPr>
              <w:t>加强创意、创新、创业教育，建立健全学生创新创业工作领导小组和指导服务专门机构，组建导师团队，设立专项经费，提供符合要求的场地，做到</w:t>
            </w:r>
            <w:r>
              <w:rPr>
                <w:rFonts w:ascii="Times New Roman" w:hAnsi="Times New Roman"/>
                <w:szCs w:val="21"/>
              </w:rPr>
              <w:t>“</w:t>
            </w:r>
            <w:r>
              <w:rPr>
                <w:rFonts w:ascii="Times New Roman" w:hAnsi="宋体"/>
                <w:szCs w:val="21"/>
              </w:rPr>
              <w:t>机构、人员、场地、经费</w:t>
            </w:r>
            <w:r>
              <w:rPr>
                <w:rFonts w:ascii="Times New Roman" w:hAnsi="Times New Roman"/>
                <w:szCs w:val="21"/>
              </w:rPr>
              <w:t>”</w:t>
            </w:r>
            <w:r>
              <w:rPr>
                <w:rFonts w:ascii="Times New Roman" w:hAnsi="宋体"/>
                <w:szCs w:val="21"/>
              </w:rPr>
              <w:t>四到位。</w:t>
            </w:r>
          </w:p>
        </w:tc>
        <w:tc>
          <w:tcPr>
            <w:tcW w:w="5103" w:type="dxa"/>
            <w:tcBorders>
              <w:top w:val="single" w:color="auto" w:sz="4" w:space="0"/>
              <w:left w:val="single" w:color="auto" w:sz="4" w:space="0"/>
              <w:bottom w:val="single" w:color="auto" w:sz="4" w:space="0"/>
              <w:right w:val="single" w:color="auto" w:sz="4" w:space="0"/>
            </w:tcBorders>
            <w:vAlign w:val="center"/>
          </w:tcPr>
          <w:p>
            <w:pPr>
              <w:spacing w:line="260" w:lineRule="exact"/>
              <w:rPr>
                <w:rFonts w:hint="eastAsia" w:ascii="Times New Roman" w:hAnsi="宋体"/>
                <w:szCs w:val="21"/>
              </w:rPr>
            </w:pPr>
            <w:r>
              <w:rPr>
                <w:rFonts w:hint="eastAsia" w:ascii="Times New Roman" w:hAnsi="Times New Roman"/>
                <w:szCs w:val="21"/>
              </w:rPr>
              <w:t>1、制定《学院学生</w:t>
            </w:r>
            <w:r>
              <w:rPr>
                <w:rFonts w:ascii="Times New Roman" w:hAnsi="宋体"/>
                <w:szCs w:val="21"/>
              </w:rPr>
              <w:t>综合素质</w:t>
            </w:r>
            <w:r>
              <w:rPr>
                <w:rFonts w:hint="eastAsia" w:ascii="Times New Roman" w:hAnsi="宋体"/>
                <w:szCs w:val="21"/>
              </w:rPr>
              <w:t>（评价）测评</w:t>
            </w:r>
            <w:r>
              <w:rPr>
                <w:rFonts w:ascii="Times New Roman" w:hAnsi="宋体"/>
                <w:szCs w:val="21"/>
              </w:rPr>
              <w:t>标准</w:t>
            </w:r>
            <w:r>
              <w:rPr>
                <w:rFonts w:hint="eastAsia" w:ascii="Times New Roman" w:hAnsi="宋体"/>
                <w:szCs w:val="21"/>
              </w:rPr>
              <w:t>》文件（</w:t>
            </w:r>
            <w:r>
              <w:rPr>
                <w:rFonts w:ascii="Times New Roman" w:hAnsi="宋体"/>
                <w:szCs w:val="21"/>
              </w:rPr>
              <w:t>包含思想道德品质、专业素质、身心素质和实践创新能力等方面</w:t>
            </w:r>
            <w:r>
              <w:rPr>
                <w:rFonts w:hint="eastAsia" w:ascii="Times New Roman" w:hAnsi="宋体"/>
                <w:szCs w:val="21"/>
              </w:rPr>
              <w:t>）；</w:t>
            </w:r>
          </w:p>
          <w:p>
            <w:pPr>
              <w:spacing w:line="260" w:lineRule="exact"/>
              <w:rPr>
                <w:rFonts w:hint="eastAsia" w:ascii="Times New Roman" w:hAnsi="Times New Roman"/>
                <w:szCs w:val="21"/>
              </w:rPr>
            </w:pPr>
            <w:r>
              <w:rPr>
                <w:rFonts w:hint="eastAsia" w:ascii="Times New Roman" w:hAnsi="Times New Roman"/>
                <w:szCs w:val="21"/>
              </w:rPr>
              <w:t>2、制定《学院学生综合素质教育培养方案》（把</w:t>
            </w:r>
            <w:r>
              <w:rPr>
                <w:rFonts w:ascii="Times New Roman" w:hAnsi="宋体"/>
                <w:szCs w:val="21"/>
              </w:rPr>
              <w:t>人文素养和职业精神教育作为学生素质教育方案的重要内容</w:t>
            </w:r>
            <w:r>
              <w:rPr>
                <w:rFonts w:hint="eastAsia" w:ascii="Times New Roman" w:hAnsi="Times New Roman"/>
                <w:szCs w:val="21"/>
              </w:rPr>
              <w:t>）；</w:t>
            </w:r>
          </w:p>
          <w:p>
            <w:pPr>
              <w:spacing w:line="260" w:lineRule="exact"/>
              <w:rPr>
                <w:rFonts w:hint="eastAsia" w:ascii="Times New Roman" w:hAnsi="Times New Roman"/>
                <w:szCs w:val="21"/>
              </w:rPr>
            </w:pPr>
            <w:r>
              <w:rPr>
                <w:rFonts w:hint="eastAsia" w:ascii="Times New Roman" w:hAnsi="Times New Roman"/>
                <w:szCs w:val="21"/>
              </w:rPr>
              <w:t>3、有关《学院公共基础课分类培养</w:t>
            </w:r>
            <w:r>
              <w:rPr>
                <w:rFonts w:ascii="Times New Roman" w:hAnsi="宋体"/>
                <w:szCs w:val="21"/>
              </w:rPr>
              <w:t>与分层教学</w:t>
            </w:r>
            <w:r>
              <w:rPr>
                <w:rFonts w:hint="eastAsia" w:ascii="Times New Roman" w:hAnsi="宋体"/>
                <w:szCs w:val="21"/>
              </w:rPr>
              <w:t>》相关</w:t>
            </w:r>
            <w:r>
              <w:rPr>
                <w:rFonts w:hint="eastAsia" w:ascii="Times New Roman" w:hAnsi="Times New Roman"/>
                <w:szCs w:val="21"/>
              </w:rPr>
              <w:t>文件通知；</w:t>
            </w:r>
          </w:p>
          <w:p>
            <w:pPr>
              <w:spacing w:line="260" w:lineRule="exact"/>
              <w:rPr>
                <w:rFonts w:hint="eastAsia" w:ascii="Times New Roman" w:hAnsi="宋体"/>
                <w:szCs w:val="21"/>
              </w:rPr>
            </w:pPr>
            <w:r>
              <w:rPr>
                <w:rFonts w:hint="eastAsia" w:ascii="Times New Roman" w:hAnsi="Times New Roman"/>
                <w:szCs w:val="21"/>
              </w:rPr>
              <w:t>4、</w:t>
            </w:r>
            <w:r>
              <w:rPr>
                <w:rFonts w:ascii="Times New Roman" w:hAnsi="宋体"/>
                <w:szCs w:val="21"/>
              </w:rPr>
              <w:t>校园文化活动、社团活动、素质教育活动；</w:t>
            </w:r>
          </w:p>
          <w:p>
            <w:pPr>
              <w:spacing w:line="260" w:lineRule="exact"/>
              <w:rPr>
                <w:rFonts w:hint="eastAsia" w:ascii="Times New Roman" w:hAnsi="宋体"/>
                <w:szCs w:val="21"/>
              </w:rPr>
            </w:pPr>
            <w:r>
              <w:rPr>
                <w:rFonts w:hint="eastAsia" w:ascii="Times New Roman" w:hAnsi="Times New Roman"/>
                <w:szCs w:val="21"/>
              </w:rPr>
              <w:t>5、</w:t>
            </w:r>
            <w:r>
              <w:rPr>
                <w:rFonts w:ascii="Times New Roman" w:hAnsi="宋体"/>
                <w:szCs w:val="21"/>
              </w:rPr>
              <w:t>近三年学院开展理想信念主旋律教育、职业道德教育活动资料；</w:t>
            </w:r>
          </w:p>
          <w:p>
            <w:pPr>
              <w:spacing w:line="260" w:lineRule="exact"/>
              <w:rPr>
                <w:rFonts w:hint="eastAsia" w:ascii="Times New Roman" w:hAnsi="宋体"/>
                <w:szCs w:val="21"/>
              </w:rPr>
            </w:pPr>
            <w:r>
              <w:rPr>
                <w:rFonts w:hint="eastAsia" w:ascii="Times New Roman" w:hAnsi="宋体"/>
                <w:szCs w:val="21"/>
              </w:rPr>
              <w:t>6、社会主义核心价值观教育资料；</w:t>
            </w:r>
          </w:p>
          <w:p>
            <w:pPr>
              <w:spacing w:line="260" w:lineRule="exact"/>
              <w:rPr>
                <w:rFonts w:hint="eastAsia" w:ascii="Times New Roman" w:hAnsi="宋体"/>
                <w:szCs w:val="21"/>
              </w:rPr>
            </w:pPr>
            <w:r>
              <w:rPr>
                <w:rFonts w:hint="eastAsia" w:ascii="Times New Roman" w:hAnsi="宋体"/>
                <w:szCs w:val="21"/>
              </w:rPr>
              <w:t>7、学院开展道德讲堂的资料；</w:t>
            </w:r>
          </w:p>
          <w:p>
            <w:pPr>
              <w:spacing w:line="260" w:lineRule="exact"/>
              <w:rPr>
                <w:rFonts w:hint="eastAsia" w:ascii="Times New Roman" w:hAnsi="宋体"/>
                <w:szCs w:val="21"/>
              </w:rPr>
            </w:pPr>
            <w:r>
              <w:rPr>
                <w:rFonts w:hint="eastAsia" w:ascii="Times New Roman" w:hAnsi="宋体"/>
                <w:szCs w:val="21"/>
              </w:rPr>
              <w:t>8、开展各类志愿者服务、下乡社会实践运行资料；</w:t>
            </w:r>
          </w:p>
          <w:p>
            <w:pPr>
              <w:spacing w:line="260" w:lineRule="exact"/>
              <w:rPr>
                <w:rFonts w:hint="eastAsia" w:ascii="Times New Roman" w:hAnsi="宋体"/>
                <w:szCs w:val="21"/>
              </w:rPr>
            </w:pPr>
            <w:r>
              <w:rPr>
                <w:rFonts w:hint="eastAsia" w:ascii="Times New Roman" w:hAnsi="宋体"/>
                <w:szCs w:val="21"/>
              </w:rPr>
              <w:t>9、</w:t>
            </w:r>
            <w:r>
              <w:rPr>
                <w:rFonts w:ascii="Times New Roman" w:hAnsi="宋体"/>
                <w:szCs w:val="21"/>
              </w:rPr>
              <w:t>学院成立创业孵化园领导小组机构文件及学生创业孵化基地成果资料；</w:t>
            </w:r>
          </w:p>
          <w:p>
            <w:pPr>
              <w:spacing w:line="260" w:lineRule="exact"/>
              <w:rPr>
                <w:rFonts w:hint="eastAsia" w:ascii="Times New Roman" w:hAnsi="宋体"/>
                <w:szCs w:val="21"/>
              </w:rPr>
            </w:pPr>
            <w:r>
              <w:rPr>
                <w:rFonts w:hint="eastAsia" w:ascii="Times New Roman" w:hAnsi="宋体"/>
                <w:szCs w:val="21"/>
              </w:rPr>
              <w:t>10、</w:t>
            </w:r>
            <w:r>
              <w:rPr>
                <w:rFonts w:ascii="Times New Roman" w:hAnsi="宋体"/>
                <w:szCs w:val="21"/>
              </w:rPr>
              <w:t>开展大学生创业培训教育</w:t>
            </w:r>
            <w:r>
              <w:rPr>
                <w:rFonts w:hint="eastAsia" w:ascii="Times New Roman" w:hAnsi="宋体"/>
                <w:szCs w:val="21"/>
              </w:rPr>
              <w:t>；</w:t>
            </w:r>
          </w:p>
          <w:p>
            <w:pPr>
              <w:spacing w:line="260" w:lineRule="exact"/>
              <w:rPr>
                <w:rFonts w:hint="eastAsia" w:ascii="Times New Roman" w:hAnsi="Times New Roman"/>
                <w:szCs w:val="21"/>
              </w:rPr>
            </w:pPr>
            <w:r>
              <w:rPr>
                <w:rFonts w:hint="eastAsia" w:ascii="Times New Roman" w:hAnsi="Times New Roman"/>
                <w:szCs w:val="21"/>
              </w:rPr>
              <w:t>11、《</w:t>
            </w:r>
            <w:r>
              <w:rPr>
                <w:rFonts w:ascii="Times New Roman" w:hAnsi="Times New Roman"/>
                <w:szCs w:val="21"/>
              </w:rPr>
              <w:t>学院大学生创新创业教育改革实施方案</w:t>
            </w:r>
            <w:r>
              <w:rPr>
                <w:rFonts w:hint="eastAsia" w:ascii="Times New Roman" w:hAnsi="Times New Roman"/>
                <w:szCs w:val="21"/>
              </w:rPr>
              <w:t>》。</w:t>
            </w:r>
          </w:p>
        </w:tc>
        <w:tc>
          <w:tcPr>
            <w:tcW w:w="109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szCs w:val="21"/>
              </w:rPr>
            </w:pPr>
            <w:r>
              <w:rPr>
                <w:rFonts w:hint="eastAsia" w:ascii="Times New Roman" w:hAnsi="Times New Roman"/>
                <w:szCs w:val="21"/>
              </w:rPr>
              <w:t>学工处</w:t>
            </w:r>
          </w:p>
        </w:tc>
        <w:tc>
          <w:tcPr>
            <w:tcW w:w="138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szCs w:val="21"/>
              </w:rPr>
            </w:pPr>
            <w:r>
              <w:rPr>
                <w:rFonts w:hint="eastAsia" w:ascii="Times New Roman" w:hAnsi="Times New Roman"/>
                <w:szCs w:val="21"/>
              </w:rPr>
              <w:t>学工处</w:t>
            </w:r>
          </w:p>
          <w:p>
            <w:pPr>
              <w:jc w:val="center"/>
              <w:rPr>
                <w:rFonts w:hint="eastAsia" w:ascii="Times New Roman" w:hAnsi="Times New Roman"/>
                <w:szCs w:val="21"/>
              </w:rPr>
            </w:pPr>
            <w:r>
              <w:rPr>
                <w:rFonts w:hint="eastAsia" w:ascii="Times New Roman" w:hAnsi="Times New Roman"/>
                <w:szCs w:val="21"/>
              </w:rPr>
              <w:t>团委</w:t>
            </w:r>
          </w:p>
          <w:p>
            <w:pPr>
              <w:jc w:val="center"/>
              <w:rPr>
                <w:rFonts w:hint="eastAsia" w:ascii="Times New Roman" w:hAnsi="Times New Roman"/>
                <w:szCs w:val="21"/>
              </w:rPr>
            </w:pPr>
            <w:r>
              <w:rPr>
                <w:rFonts w:hint="eastAsia" w:ascii="Times New Roman" w:hAnsi="Times New Roman"/>
                <w:szCs w:val="21"/>
              </w:rPr>
              <w:t>教务处</w:t>
            </w:r>
          </w:p>
          <w:p>
            <w:pPr>
              <w:jc w:val="center"/>
              <w:rPr>
                <w:rFonts w:hint="eastAsia" w:ascii="Times New Roman" w:hAnsi="Times New Roman"/>
                <w:szCs w:val="21"/>
              </w:rPr>
            </w:pPr>
            <w:r>
              <w:rPr>
                <w:rFonts w:hint="eastAsia" w:ascii="Times New Roman" w:hAnsi="Times New Roman"/>
                <w:szCs w:val="21"/>
              </w:rPr>
              <w:t>党工部</w:t>
            </w:r>
          </w:p>
          <w:p>
            <w:pPr>
              <w:jc w:val="center"/>
              <w:rPr>
                <w:rFonts w:hint="eastAsia" w:ascii="Times New Roman" w:hAnsi="Times New Roman"/>
                <w:szCs w:val="21"/>
              </w:rPr>
            </w:pPr>
            <w:r>
              <w:rPr>
                <w:rFonts w:hint="eastAsia" w:ascii="Times New Roman" w:hAnsi="Times New Roman"/>
                <w:szCs w:val="21"/>
              </w:rPr>
              <w:t>招就处</w:t>
            </w:r>
          </w:p>
          <w:p>
            <w:pPr>
              <w:jc w:val="center"/>
              <w:rPr>
                <w:rFonts w:hint="eastAsia" w:ascii="Times New Roman" w:hAnsi="Times New Roman"/>
                <w:szCs w:val="21"/>
              </w:rPr>
            </w:pPr>
            <w:r>
              <w:rPr>
                <w:rFonts w:hint="eastAsia" w:ascii="Times New Roman" w:hAnsi="Times New Roman"/>
                <w:szCs w:val="21"/>
              </w:rPr>
              <w:t>各院系（部）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71" w:hRule="atLeast"/>
          <w:jc w:val="center"/>
        </w:trPr>
        <w:tc>
          <w:tcPr>
            <w:tcW w:w="1004" w:type="dxa"/>
            <w:vMerge w:val="continue"/>
            <w:tcBorders>
              <w:right w:val="single" w:color="auto" w:sz="4" w:space="0"/>
            </w:tcBorders>
            <w:shd w:val="clear" w:color="auto" w:fill="auto"/>
            <w:vAlign w:val="center"/>
          </w:tcPr>
          <w:p>
            <w:pPr>
              <w:jc w:val="center"/>
              <w:rPr>
                <w:rFonts w:ascii="Times New Roman" w:hAnsi="Times New Roman"/>
                <w:szCs w:val="21"/>
              </w:rPr>
            </w:pPr>
          </w:p>
        </w:tc>
        <w:tc>
          <w:tcPr>
            <w:tcW w:w="72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szCs w:val="21"/>
              </w:rPr>
            </w:pPr>
          </w:p>
        </w:tc>
        <w:tc>
          <w:tcPr>
            <w:tcW w:w="89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szCs w:val="21"/>
              </w:rPr>
            </w:pPr>
            <w:r>
              <w:rPr>
                <w:rFonts w:ascii="Times New Roman" w:hAnsi="宋体"/>
                <w:szCs w:val="21"/>
              </w:rPr>
              <w:t>诊改制度</w:t>
            </w:r>
          </w:p>
        </w:tc>
        <w:tc>
          <w:tcPr>
            <w:tcW w:w="465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szCs w:val="21"/>
              </w:rPr>
            </w:pPr>
            <w:r>
              <w:rPr>
                <w:rFonts w:ascii="Times New Roman" w:hAnsi="Times New Roman"/>
                <w:szCs w:val="21"/>
              </w:rPr>
              <w:fldChar w:fldCharType="begin"/>
            </w:r>
            <w:r>
              <w:rPr>
                <w:rFonts w:ascii="Times New Roman" w:hAnsi="Times New Roman"/>
                <w:szCs w:val="21"/>
              </w:rPr>
              <w:instrText xml:space="preserve"> = 1 \* GB3 </w:instrText>
            </w:r>
            <w:r>
              <w:rPr>
                <w:rFonts w:ascii="Times New Roman" w:hAnsi="Times New Roman"/>
                <w:szCs w:val="21"/>
              </w:rPr>
              <w:fldChar w:fldCharType="separate"/>
            </w:r>
            <w:r>
              <w:rPr>
                <w:rFonts w:ascii="宋体" w:hAnsi="宋体"/>
                <w:szCs w:val="21"/>
              </w:rPr>
              <w:t>①</w:t>
            </w:r>
            <w:r>
              <w:rPr>
                <w:rFonts w:ascii="Times New Roman" w:hAnsi="Times New Roman"/>
                <w:szCs w:val="21"/>
              </w:rPr>
              <w:fldChar w:fldCharType="end"/>
            </w:r>
            <w:r>
              <w:rPr>
                <w:rFonts w:ascii="Times New Roman" w:hAnsi="宋体"/>
                <w:szCs w:val="21"/>
              </w:rPr>
              <w:t>构建校内</w:t>
            </w:r>
            <w:r>
              <w:rPr>
                <w:rFonts w:ascii="Times New Roman" w:hAnsi="Times New Roman"/>
                <w:szCs w:val="21"/>
              </w:rPr>
              <w:t>“</w:t>
            </w:r>
            <w:r>
              <w:rPr>
                <w:rFonts w:ascii="Times New Roman" w:hAnsi="宋体"/>
                <w:szCs w:val="21"/>
              </w:rPr>
              <w:t>三全</w:t>
            </w:r>
            <w:r>
              <w:rPr>
                <w:rFonts w:ascii="Times New Roman" w:hAnsi="Times New Roman"/>
                <w:szCs w:val="21"/>
              </w:rPr>
              <w:t>”</w:t>
            </w:r>
            <w:r>
              <w:rPr>
                <w:rFonts w:ascii="Times New Roman" w:hAnsi="宋体"/>
                <w:szCs w:val="21"/>
              </w:rPr>
              <w:t>（全员、全过程、全方位）育人质量保证制度体系，定期实施对育人部门工作及效果的诊改。</w:t>
            </w:r>
          </w:p>
        </w:tc>
        <w:tc>
          <w:tcPr>
            <w:tcW w:w="5103" w:type="dxa"/>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szCs w:val="21"/>
              </w:rPr>
            </w:pPr>
            <w:r>
              <w:rPr>
                <w:rFonts w:hint="eastAsia" w:ascii="Times New Roman" w:hAnsi="Times New Roman"/>
                <w:szCs w:val="21"/>
              </w:rPr>
              <w:t>1、《学院开展“三横三纵” 实施方案》；</w:t>
            </w:r>
          </w:p>
          <w:p>
            <w:pPr>
              <w:rPr>
                <w:rFonts w:hint="eastAsia" w:ascii="Times New Roman" w:hAnsi="Times New Roman"/>
                <w:szCs w:val="21"/>
              </w:rPr>
            </w:pPr>
            <w:r>
              <w:rPr>
                <w:rFonts w:hint="eastAsia" w:ascii="Times New Roman" w:hAnsi="Times New Roman"/>
                <w:szCs w:val="21"/>
              </w:rPr>
              <w:t>2、学院开展“两学一做”相关资料；</w:t>
            </w:r>
          </w:p>
          <w:p>
            <w:pPr>
              <w:rPr>
                <w:rFonts w:hint="eastAsia" w:ascii="Times New Roman" w:hAnsi="Times New Roman"/>
                <w:szCs w:val="21"/>
              </w:rPr>
            </w:pPr>
            <w:r>
              <w:rPr>
                <w:rFonts w:hint="eastAsia" w:ascii="Times New Roman" w:hAnsi="Times New Roman"/>
                <w:szCs w:val="21"/>
              </w:rPr>
              <w:t>3、</w:t>
            </w:r>
            <w:r>
              <w:rPr>
                <w:rFonts w:ascii="Times New Roman" w:hAnsi="Times New Roman"/>
                <w:szCs w:val="21"/>
              </w:rPr>
              <w:t>学院社区育人资料；</w:t>
            </w:r>
          </w:p>
          <w:p>
            <w:pPr>
              <w:rPr>
                <w:rFonts w:hint="eastAsia" w:ascii="Times New Roman" w:hAnsi="Times New Roman"/>
                <w:szCs w:val="21"/>
              </w:rPr>
            </w:pPr>
            <w:r>
              <w:rPr>
                <w:rFonts w:hint="eastAsia" w:ascii="Times New Roman" w:hAnsi="Times New Roman"/>
                <w:szCs w:val="21"/>
              </w:rPr>
              <w:t>4、开展辅导员论坛材料；</w:t>
            </w:r>
          </w:p>
          <w:p>
            <w:pPr>
              <w:rPr>
                <w:rFonts w:hint="eastAsia" w:ascii="Times New Roman" w:hAnsi="Times New Roman"/>
                <w:szCs w:val="21"/>
              </w:rPr>
            </w:pPr>
            <w:r>
              <w:rPr>
                <w:rFonts w:hint="eastAsia" w:ascii="Times New Roman" w:hAnsi="Times New Roman"/>
                <w:szCs w:val="21"/>
              </w:rPr>
              <w:t>5、学生心理健康教育与咨询相关资料；</w:t>
            </w:r>
          </w:p>
          <w:p>
            <w:pPr>
              <w:rPr>
                <w:rFonts w:hint="eastAsia" w:ascii="Times New Roman" w:hAnsi="Times New Roman"/>
                <w:szCs w:val="21"/>
              </w:rPr>
            </w:pPr>
            <w:r>
              <w:rPr>
                <w:rFonts w:hint="eastAsia" w:ascii="Times New Roman" w:hAnsi="Times New Roman"/>
                <w:szCs w:val="21"/>
              </w:rPr>
              <w:t>6、学院服务学生专题会议及相关资料；</w:t>
            </w:r>
          </w:p>
          <w:p>
            <w:pPr>
              <w:rPr>
                <w:rFonts w:hint="eastAsia" w:ascii="Times New Roman" w:hAnsi="Times New Roman"/>
                <w:szCs w:val="21"/>
              </w:rPr>
            </w:pPr>
            <w:r>
              <w:rPr>
                <w:rFonts w:hint="eastAsia" w:ascii="Times New Roman" w:hAnsi="Times New Roman"/>
                <w:szCs w:val="21"/>
              </w:rPr>
              <w:t>7、社区管理中心服务学生资料；</w:t>
            </w:r>
          </w:p>
          <w:p>
            <w:pPr>
              <w:rPr>
                <w:rFonts w:hint="eastAsia" w:ascii="Times New Roman" w:hAnsi="Times New Roman"/>
                <w:szCs w:val="21"/>
              </w:rPr>
            </w:pPr>
            <w:r>
              <w:rPr>
                <w:rFonts w:hint="eastAsia" w:ascii="Times New Roman" w:hAnsi="Times New Roman"/>
                <w:szCs w:val="21"/>
              </w:rPr>
              <w:t>8、食堂管理及服务学生资料；</w:t>
            </w:r>
          </w:p>
          <w:p>
            <w:pPr>
              <w:rPr>
                <w:rFonts w:hint="eastAsia" w:ascii="Times New Roman" w:hAnsi="Times New Roman"/>
                <w:szCs w:val="21"/>
              </w:rPr>
            </w:pPr>
            <w:r>
              <w:rPr>
                <w:rFonts w:hint="eastAsia" w:ascii="Times New Roman" w:hAnsi="Times New Roman"/>
                <w:szCs w:val="21"/>
              </w:rPr>
              <w:t>9、就业指导与服务活动的相关资料；</w:t>
            </w:r>
          </w:p>
          <w:p>
            <w:pPr>
              <w:rPr>
                <w:rFonts w:hint="eastAsia" w:ascii="Times New Roman" w:hAnsi="Times New Roman"/>
                <w:szCs w:val="21"/>
              </w:rPr>
            </w:pPr>
            <w:r>
              <w:rPr>
                <w:rFonts w:hint="eastAsia" w:ascii="Times New Roman" w:hAnsi="Times New Roman"/>
                <w:szCs w:val="21"/>
              </w:rPr>
              <w:t>9、学院二级量化考核相关材料；</w:t>
            </w:r>
          </w:p>
          <w:p>
            <w:pPr>
              <w:rPr>
                <w:rFonts w:hint="eastAsia" w:ascii="Times New Roman" w:hAnsi="Times New Roman"/>
                <w:szCs w:val="21"/>
              </w:rPr>
            </w:pPr>
            <w:r>
              <w:rPr>
                <w:rFonts w:hint="eastAsia" w:ascii="Times New Roman" w:hAnsi="Times New Roman"/>
                <w:szCs w:val="21"/>
              </w:rPr>
              <w:t>10、在校生满意度调查报告；</w:t>
            </w:r>
          </w:p>
          <w:p>
            <w:pPr>
              <w:rPr>
                <w:rFonts w:hint="eastAsia" w:ascii="Times New Roman" w:hAnsi="Times New Roman"/>
                <w:szCs w:val="21"/>
              </w:rPr>
            </w:pPr>
            <w:r>
              <w:rPr>
                <w:rFonts w:hint="eastAsia" w:ascii="Times New Roman" w:hAnsi="Times New Roman"/>
                <w:szCs w:val="21"/>
              </w:rPr>
              <w:t>11、近三届毕业生满意度调查报告。</w:t>
            </w:r>
          </w:p>
          <w:p>
            <w:pPr>
              <w:rPr>
                <w:rFonts w:ascii="Times New Roman" w:hAnsi="Times New Roman"/>
                <w:szCs w:val="21"/>
              </w:rPr>
            </w:pPr>
            <w:r>
              <w:rPr>
                <w:rFonts w:hint="eastAsia" w:ascii="Times New Roman" w:hAnsi="Times New Roman"/>
                <w:szCs w:val="21"/>
              </w:rPr>
              <w:t>12、近2年各职能部门、各院系（部）自我诊断工作报告。</w:t>
            </w:r>
          </w:p>
        </w:tc>
        <w:tc>
          <w:tcPr>
            <w:tcW w:w="109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Cs w:val="21"/>
              </w:rPr>
            </w:pPr>
            <w:r>
              <w:rPr>
                <w:rFonts w:hint="eastAsia" w:ascii="Times New Roman" w:hAnsi="Times New Roman"/>
                <w:szCs w:val="21"/>
              </w:rPr>
              <w:t>学工处</w:t>
            </w:r>
          </w:p>
        </w:tc>
        <w:tc>
          <w:tcPr>
            <w:tcW w:w="138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szCs w:val="21"/>
              </w:rPr>
            </w:pPr>
            <w:r>
              <w:rPr>
                <w:rFonts w:hint="eastAsia" w:ascii="Times New Roman" w:hAnsi="Times New Roman"/>
                <w:szCs w:val="21"/>
              </w:rPr>
              <w:t>学工处</w:t>
            </w:r>
          </w:p>
          <w:p>
            <w:pPr>
              <w:jc w:val="center"/>
              <w:rPr>
                <w:rFonts w:hint="eastAsia" w:ascii="Times New Roman" w:hAnsi="Times New Roman"/>
                <w:szCs w:val="21"/>
              </w:rPr>
            </w:pPr>
            <w:r>
              <w:rPr>
                <w:rFonts w:hint="eastAsia" w:ascii="Times New Roman" w:hAnsi="Times New Roman"/>
                <w:szCs w:val="21"/>
              </w:rPr>
              <w:t>党工部</w:t>
            </w:r>
          </w:p>
          <w:p>
            <w:pPr>
              <w:jc w:val="center"/>
              <w:rPr>
                <w:rFonts w:hint="eastAsia" w:ascii="Times New Roman" w:hAnsi="Times New Roman"/>
                <w:szCs w:val="21"/>
              </w:rPr>
            </w:pPr>
            <w:r>
              <w:rPr>
                <w:rFonts w:hint="eastAsia" w:ascii="Times New Roman" w:hAnsi="Times New Roman"/>
                <w:szCs w:val="21"/>
              </w:rPr>
              <w:t>招就处</w:t>
            </w:r>
          </w:p>
          <w:p>
            <w:pPr>
              <w:jc w:val="center"/>
              <w:rPr>
                <w:rFonts w:hint="eastAsia" w:ascii="Times New Roman" w:hAnsi="Times New Roman"/>
                <w:szCs w:val="21"/>
              </w:rPr>
            </w:pPr>
            <w:r>
              <w:rPr>
                <w:rFonts w:hint="eastAsia" w:ascii="Times New Roman" w:hAnsi="Times New Roman"/>
                <w:szCs w:val="21"/>
              </w:rPr>
              <w:t>后勤处</w:t>
            </w:r>
          </w:p>
          <w:p>
            <w:pPr>
              <w:jc w:val="center"/>
              <w:rPr>
                <w:rFonts w:hint="eastAsia" w:ascii="Times New Roman" w:hAnsi="Times New Roman"/>
                <w:szCs w:val="21"/>
              </w:rPr>
            </w:pPr>
            <w:r>
              <w:rPr>
                <w:rFonts w:hint="eastAsia" w:ascii="Times New Roman" w:hAnsi="Times New Roman"/>
                <w:szCs w:val="21"/>
              </w:rPr>
              <w:t>团委</w:t>
            </w:r>
          </w:p>
          <w:p>
            <w:pPr>
              <w:jc w:val="center"/>
              <w:rPr>
                <w:rFonts w:hint="eastAsia" w:ascii="Times New Roman" w:hAnsi="Times New Roman"/>
                <w:szCs w:val="21"/>
              </w:rPr>
            </w:pPr>
            <w:r>
              <w:rPr>
                <w:rFonts w:hint="eastAsia" w:ascii="Times New Roman" w:hAnsi="Times New Roman"/>
                <w:szCs w:val="21"/>
              </w:rPr>
              <w:t>教务处</w:t>
            </w:r>
          </w:p>
          <w:p>
            <w:pPr>
              <w:jc w:val="center"/>
              <w:rPr>
                <w:rFonts w:hint="eastAsia" w:ascii="Times New Roman" w:hAnsi="Times New Roman"/>
                <w:szCs w:val="21"/>
              </w:rPr>
            </w:pPr>
            <w:r>
              <w:rPr>
                <w:rFonts w:hint="eastAsia" w:ascii="Times New Roman" w:hAnsi="Times New Roman"/>
                <w:szCs w:val="21"/>
              </w:rPr>
              <w:t>各院系（部）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3" w:hRule="atLeast"/>
          <w:jc w:val="center"/>
        </w:trPr>
        <w:tc>
          <w:tcPr>
            <w:tcW w:w="1004" w:type="dxa"/>
            <w:vMerge w:val="continue"/>
            <w:shd w:val="clear" w:color="auto" w:fill="auto"/>
            <w:vAlign w:val="center"/>
          </w:tcPr>
          <w:p>
            <w:pPr>
              <w:jc w:val="center"/>
              <w:rPr>
                <w:rFonts w:ascii="Times New Roman" w:hAnsi="Times New Roman"/>
                <w:szCs w:val="21"/>
              </w:rPr>
            </w:pPr>
          </w:p>
        </w:tc>
        <w:tc>
          <w:tcPr>
            <w:tcW w:w="724" w:type="dxa"/>
            <w:vMerge w:val="continue"/>
            <w:tcBorders>
              <w:top w:val="single" w:color="auto" w:sz="4" w:space="0"/>
            </w:tcBorders>
            <w:shd w:val="clear" w:color="auto" w:fill="auto"/>
            <w:vAlign w:val="center"/>
          </w:tcPr>
          <w:p>
            <w:pPr>
              <w:jc w:val="center"/>
              <w:rPr>
                <w:rFonts w:ascii="Times New Roman" w:hAnsi="Times New Roman"/>
                <w:szCs w:val="21"/>
              </w:rPr>
            </w:pPr>
          </w:p>
        </w:tc>
        <w:tc>
          <w:tcPr>
            <w:tcW w:w="897" w:type="dxa"/>
            <w:tcBorders>
              <w:top w:val="single" w:color="auto" w:sz="4" w:space="0"/>
            </w:tcBorders>
            <w:shd w:val="clear" w:color="auto" w:fill="auto"/>
            <w:vAlign w:val="center"/>
          </w:tcPr>
          <w:p>
            <w:pPr>
              <w:jc w:val="center"/>
              <w:rPr>
                <w:rFonts w:ascii="Times New Roman" w:hAnsi="Times New Roman"/>
                <w:szCs w:val="21"/>
              </w:rPr>
            </w:pPr>
            <w:r>
              <w:rPr>
                <w:rFonts w:ascii="Times New Roman" w:hAnsi="宋体"/>
                <w:szCs w:val="21"/>
              </w:rPr>
              <w:t>实施与效果</w:t>
            </w:r>
          </w:p>
        </w:tc>
        <w:tc>
          <w:tcPr>
            <w:tcW w:w="4650" w:type="dxa"/>
            <w:tcBorders>
              <w:top w:val="single" w:color="auto" w:sz="4" w:space="0"/>
            </w:tcBorders>
            <w:shd w:val="clear" w:color="auto" w:fill="auto"/>
            <w:vAlign w:val="center"/>
          </w:tcPr>
          <w:p>
            <w:pPr>
              <w:rPr>
                <w:rFonts w:ascii="Times New Roman" w:hAnsi="Times New Roman"/>
                <w:szCs w:val="21"/>
              </w:rPr>
            </w:pPr>
            <w:r>
              <w:rPr>
                <w:rFonts w:ascii="Times New Roman" w:hAnsi="Times New Roman"/>
                <w:szCs w:val="21"/>
              </w:rPr>
              <w:fldChar w:fldCharType="begin"/>
            </w:r>
            <w:r>
              <w:rPr>
                <w:rFonts w:ascii="Times New Roman" w:hAnsi="Times New Roman"/>
                <w:szCs w:val="21"/>
              </w:rPr>
              <w:instrText xml:space="preserve"> = 1 \* GB3 </w:instrText>
            </w:r>
            <w:r>
              <w:rPr>
                <w:rFonts w:ascii="Times New Roman" w:hAnsi="Times New Roman"/>
                <w:szCs w:val="21"/>
              </w:rPr>
              <w:fldChar w:fldCharType="separate"/>
            </w:r>
            <w:r>
              <w:rPr>
                <w:rFonts w:ascii="宋体" w:hAnsi="宋体"/>
                <w:szCs w:val="21"/>
              </w:rPr>
              <w:t>①</w:t>
            </w:r>
            <w:r>
              <w:rPr>
                <w:rFonts w:ascii="Times New Roman" w:hAnsi="Times New Roman"/>
                <w:szCs w:val="21"/>
              </w:rPr>
              <w:fldChar w:fldCharType="end"/>
            </w:r>
            <w:r>
              <w:rPr>
                <w:rFonts w:ascii="Times New Roman" w:hAnsi="宋体"/>
                <w:szCs w:val="21"/>
              </w:rPr>
              <w:t>育人工作形成常态化诊改机制，对照学生综合素质标准和素质教育方案，育人目标达成度高；</w:t>
            </w:r>
          </w:p>
          <w:p>
            <w:pPr>
              <w:rPr>
                <w:rFonts w:ascii="Times New Roman" w:hAnsi="Times New Roman"/>
                <w:szCs w:val="21"/>
              </w:rPr>
            </w:pPr>
            <w:r>
              <w:rPr>
                <w:rFonts w:ascii="Times New Roman" w:hAnsi="Times New Roman"/>
                <w:szCs w:val="21"/>
              </w:rPr>
              <w:fldChar w:fldCharType="begin"/>
            </w:r>
            <w:r>
              <w:rPr>
                <w:rFonts w:ascii="Times New Roman" w:hAnsi="Times New Roman"/>
                <w:szCs w:val="21"/>
              </w:rPr>
              <w:instrText xml:space="preserve"> = 2 \* GB3 </w:instrText>
            </w:r>
            <w:r>
              <w:rPr>
                <w:rFonts w:ascii="Times New Roman" w:hAnsi="Times New Roman"/>
                <w:szCs w:val="21"/>
              </w:rPr>
              <w:fldChar w:fldCharType="separate"/>
            </w:r>
            <w:r>
              <w:rPr>
                <w:rFonts w:ascii="宋体" w:hAnsi="宋体"/>
                <w:szCs w:val="21"/>
              </w:rPr>
              <w:t>②</w:t>
            </w:r>
            <w:r>
              <w:rPr>
                <w:rFonts w:ascii="Times New Roman" w:hAnsi="Times New Roman"/>
                <w:szCs w:val="21"/>
              </w:rPr>
              <w:fldChar w:fldCharType="end"/>
            </w:r>
            <w:r>
              <w:rPr>
                <w:rFonts w:ascii="Times New Roman" w:hAnsi="宋体"/>
                <w:szCs w:val="21"/>
              </w:rPr>
              <w:t>学生自主学习能力、主动学习积极性、职业能力和创新创业能力得到明显提高。</w:t>
            </w:r>
          </w:p>
        </w:tc>
        <w:tc>
          <w:tcPr>
            <w:tcW w:w="5103" w:type="dxa"/>
            <w:tcBorders>
              <w:top w:val="single" w:color="auto" w:sz="4" w:space="0"/>
            </w:tcBorders>
            <w:vAlign w:val="center"/>
          </w:tcPr>
          <w:p>
            <w:pPr>
              <w:rPr>
                <w:rFonts w:hint="eastAsia" w:ascii="Times New Roman" w:hAnsi="Times New Roman"/>
                <w:szCs w:val="21"/>
              </w:rPr>
            </w:pPr>
            <w:r>
              <w:rPr>
                <w:rFonts w:hint="eastAsia" w:ascii="Times New Roman" w:hAnsi="Times New Roman"/>
                <w:szCs w:val="21"/>
              </w:rPr>
              <w:t>1、</w:t>
            </w:r>
            <w:r>
              <w:rPr>
                <w:rFonts w:ascii="Times New Roman" w:hAnsi="Times New Roman"/>
                <w:szCs w:val="21"/>
              </w:rPr>
              <w:t>近三年学院学生省级、国家级评先评优成果资料；</w:t>
            </w:r>
          </w:p>
          <w:p>
            <w:pPr>
              <w:rPr>
                <w:rFonts w:hint="eastAsia" w:ascii="Times New Roman" w:hAnsi="Times New Roman"/>
                <w:szCs w:val="21"/>
              </w:rPr>
            </w:pPr>
            <w:r>
              <w:rPr>
                <w:rFonts w:hint="eastAsia" w:ascii="Times New Roman" w:hAnsi="Times New Roman"/>
                <w:szCs w:val="21"/>
              </w:rPr>
              <w:t>2、</w:t>
            </w:r>
            <w:r>
              <w:rPr>
                <w:rFonts w:ascii="Times New Roman" w:hAnsi="Times New Roman"/>
                <w:szCs w:val="21"/>
              </w:rPr>
              <w:t>学院获全国、全省校园文化优秀成果资料</w:t>
            </w:r>
            <w:r>
              <w:rPr>
                <w:rFonts w:hint="eastAsia" w:ascii="Times New Roman" w:hAnsi="Times New Roman"/>
                <w:szCs w:val="21"/>
              </w:rPr>
              <w:t>；</w:t>
            </w:r>
          </w:p>
          <w:p>
            <w:pPr>
              <w:rPr>
                <w:rFonts w:hint="eastAsia" w:ascii="Times New Roman" w:hAnsi="Times New Roman"/>
                <w:szCs w:val="21"/>
              </w:rPr>
            </w:pPr>
            <w:r>
              <w:rPr>
                <w:rFonts w:hint="eastAsia" w:ascii="Times New Roman" w:hAnsi="Times New Roman"/>
                <w:szCs w:val="21"/>
              </w:rPr>
              <w:t>3、</w:t>
            </w:r>
            <w:r>
              <w:rPr>
                <w:rFonts w:ascii="Times New Roman" w:hAnsi="Times New Roman"/>
                <w:szCs w:val="21"/>
              </w:rPr>
              <w:t>学院师生参加全省、全国职业院校技能大赛等成果；</w:t>
            </w:r>
          </w:p>
          <w:p>
            <w:pPr>
              <w:rPr>
                <w:rFonts w:hint="eastAsia" w:ascii="Times New Roman" w:hAnsi="Times New Roman"/>
                <w:szCs w:val="21"/>
              </w:rPr>
            </w:pPr>
            <w:r>
              <w:rPr>
                <w:rFonts w:hint="eastAsia" w:ascii="Times New Roman" w:hAnsi="Times New Roman"/>
                <w:szCs w:val="21"/>
              </w:rPr>
              <w:t>4、</w:t>
            </w:r>
            <w:r>
              <w:rPr>
                <w:rFonts w:ascii="Times New Roman" w:hAnsi="Times New Roman"/>
                <w:szCs w:val="21"/>
              </w:rPr>
              <w:t>学院开展年度文化艺术节成果资料；</w:t>
            </w:r>
          </w:p>
          <w:p>
            <w:pPr>
              <w:rPr>
                <w:rFonts w:hint="eastAsia" w:ascii="Times New Roman" w:hAnsi="Times New Roman"/>
                <w:szCs w:val="21"/>
              </w:rPr>
            </w:pPr>
            <w:r>
              <w:rPr>
                <w:rFonts w:hint="eastAsia" w:ascii="Times New Roman" w:hAnsi="Times New Roman"/>
                <w:szCs w:val="21"/>
              </w:rPr>
              <w:t>5、</w:t>
            </w:r>
            <w:r>
              <w:rPr>
                <w:rFonts w:ascii="Times New Roman" w:hAnsi="Times New Roman"/>
                <w:szCs w:val="21"/>
              </w:rPr>
              <w:t>学生参加全省、全国体艺比赛成果资料；</w:t>
            </w:r>
          </w:p>
          <w:p>
            <w:pPr>
              <w:rPr>
                <w:rFonts w:hint="eastAsia" w:ascii="Times New Roman" w:hAnsi="Times New Roman"/>
                <w:szCs w:val="21"/>
              </w:rPr>
            </w:pPr>
            <w:r>
              <w:rPr>
                <w:rFonts w:hint="eastAsia" w:ascii="Times New Roman" w:hAnsi="Times New Roman"/>
                <w:szCs w:val="21"/>
              </w:rPr>
              <w:t>6、</w:t>
            </w:r>
            <w:r>
              <w:rPr>
                <w:rFonts w:ascii="Times New Roman" w:hAnsi="Times New Roman"/>
                <w:szCs w:val="21"/>
              </w:rPr>
              <w:t>毕业生获得中级技能及以上或行业的职业资格证书佐证资料；</w:t>
            </w:r>
          </w:p>
          <w:p>
            <w:pPr>
              <w:rPr>
                <w:rFonts w:hint="eastAsia" w:ascii="Times New Roman" w:hAnsi="Times New Roman"/>
                <w:szCs w:val="21"/>
              </w:rPr>
            </w:pPr>
            <w:r>
              <w:rPr>
                <w:rFonts w:hint="eastAsia" w:ascii="Times New Roman" w:hAnsi="Times New Roman"/>
                <w:szCs w:val="21"/>
              </w:rPr>
              <w:t>7、</w:t>
            </w:r>
            <w:r>
              <w:rPr>
                <w:rFonts w:ascii="Times New Roman" w:hAnsi="Times New Roman"/>
                <w:szCs w:val="21"/>
              </w:rPr>
              <w:t>毕业生就业情况统计表；</w:t>
            </w:r>
          </w:p>
          <w:p>
            <w:pPr>
              <w:rPr>
                <w:rFonts w:hint="eastAsia" w:ascii="Times New Roman" w:hAnsi="Times New Roman"/>
                <w:szCs w:val="21"/>
              </w:rPr>
            </w:pPr>
            <w:r>
              <w:rPr>
                <w:rFonts w:hint="eastAsia" w:ascii="Times New Roman" w:hAnsi="Times New Roman"/>
                <w:szCs w:val="21"/>
              </w:rPr>
              <w:t>8、</w:t>
            </w:r>
            <w:r>
              <w:rPr>
                <w:rFonts w:ascii="Times New Roman" w:hAnsi="Times New Roman"/>
                <w:szCs w:val="21"/>
              </w:rPr>
              <w:t>学院毕业生就业质量报告</w:t>
            </w:r>
            <w:r>
              <w:rPr>
                <w:rFonts w:hint="eastAsia" w:ascii="Times New Roman" w:hAnsi="Times New Roman"/>
                <w:szCs w:val="21"/>
              </w:rPr>
              <w:t>；</w:t>
            </w:r>
          </w:p>
          <w:p>
            <w:pPr>
              <w:rPr>
                <w:rFonts w:hint="eastAsia" w:ascii="Times New Roman" w:hAnsi="Times New Roman"/>
                <w:szCs w:val="21"/>
              </w:rPr>
            </w:pPr>
            <w:r>
              <w:rPr>
                <w:rFonts w:hint="eastAsia" w:ascii="Times New Roman" w:hAnsi="Times New Roman"/>
                <w:szCs w:val="21"/>
              </w:rPr>
              <w:t>9、近二年人才培养年度质量报告。</w:t>
            </w:r>
          </w:p>
          <w:p>
            <w:pPr>
              <w:rPr>
                <w:rFonts w:ascii="Times New Roman" w:hAnsi="Times New Roman"/>
                <w:szCs w:val="21"/>
              </w:rPr>
            </w:pPr>
          </w:p>
        </w:tc>
        <w:tc>
          <w:tcPr>
            <w:tcW w:w="1096" w:type="dxa"/>
            <w:tcBorders>
              <w:top w:val="single" w:color="auto" w:sz="4" w:space="0"/>
            </w:tcBorders>
            <w:vAlign w:val="center"/>
          </w:tcPr>
          <w:p>
            <w:pPr>
              <w:jc w:val="center"/>
              <w:rPr>
                <w:rFonts w:ascii="Times New Roman" w:hAnsi="Times New Roman"/>
                <w:szCs w:val="21"/>
              </w:rPr>
            </w:pPr>
            <w:r>
              <w:rPr>
                <w:rFonts w:hint="eastAsia" w:ascii="Times New Roman" w:hAnsi="Times New Roman"/>
                <w:szCs w:val="21"/>
              </w:rPr>
              <w:t>质控中心</w:t>
            </w:r>
          </w:p>
        </w:tc>
        <w:tc>
          <w:tcPr>
            <w:tcW w:w="1388" w:type="dxa"/>
            <w:tcBorders>
              <w:top w:val="single" w:color="auto" w:sz="4" w:space="0"/>
            </w:tcBorders>
            <w:vAlign w:val="center"/>
          </w:tcPr>
          <w:p>
            <w:pPr>
              <w:jc w:val="center"/>
              <w:rPr>
                <w:rFonts w:hint="eastAsia" w:ascii="Times New Roman" w:hAnsi="Times New Roman"/>
                <w:szCs w:val="21"/>
              </w:rPr>
            </w:pPr>
            <w:r>
              <w:rPr>
                <w:rFonts w:hint="eastAsia" w:ascii="Times New Roman" w:hAnsi="Times New Roman"/>
                <w:szCs w:val="21"/>
              </w:rPr>
              <w:t>学工处</w:t>
            </w:r>
          </w:p>
          <w:p>
            <w:pPr>
              <w:jc w:val="center"/>
              <w:rPr>
                <w:rFonts w:hint="eastAsia" w:ascii="Times New Roman" w:hAnsi="Times New Roman"/>
                <w:szCs w:val="21"/>
              </w:rPr>
            </w:pPr>
            <w:r>
              <w:rPr>
                <w:rFonts w:hint="eastAsia" w:ascii="Times New Roman" w:hAnsi="Times New Roman"/>
                <w:szCs w:val="21"/>
              </w:rPr>
              <w:t>团委</w:t>
            </w:r>
          </w:p>
          <w:p>
            <w:pPr>
              <w:jc w:val="center"/>
              <w:rPr>
                <w:rFonts w:hint="eastAsia" w:ascii="Times New Roman" w:hAnsi="Times New Roman"/>
                <w:szCs w:val="21"/>
              </w:rPr>
            </w:pPr>
            <w:r>
              <w:rPr>
                <w:rFonts w:hint="eastAsia" w:ascii="Times New Roman" w:hAnsi="Times New Roman"/>
                <w:szCs w:val="21"/>
              </w:rPr>
              <w:t>教务处</w:t>
            </w:r>
          </w:p>
          <w:p>
            <w:pPr>
              <w:jc w:val="center"/>
              <w:rPr>
                <w:rFonts w:hint="eastAsia" w:ascii="Times New Roman" w:hAnsi="Times New Roman"/>
                <w:szCs w:val="21"/>
              </w:rPr>
            </w:pPr>
            <w:r>
              <w:rPr>
                <w:rFonts w:hint="eastAsia" w:ascii="Times New Roman" w:hAnsi="Times New Roman"/>
                <w:szCs w:val="21"/>
              </w:rPr>
              <w:t>成教部</w:t>
            </w:r>
          </w:p>
          <w:p>
            <w:pPr>
              <w:jc w:val="center"/>
              <w:rPr>
                <w:rFonts w:hint="eastAsia" w:ascii="Times New Roman" w:hAnsi="Times New Roman"/>
                <w:szCs w:val="21"/>
              </w:rPr>
            </w:pPr>
            <w:r>
              <w:rPr>
                <w:rFonts w:hint="eastAsia" w:ascii="Times New Roman" w:hAnsi="Times New Roman"/>
                <w:szCs w:val="21"/>
              </w:rPr>
              <w:t>招就处</w:t>
            </w:r>
          </w:p>
          <w:p>
            <w:pPr>
              <w:jc w:val="center"/>
              <w:rPr>
                <w:rFonts w:hint="eastAsia" w:ascii="Times New Roman" w:hAnsi="Times New Roman"/>
                <w:szCs w:val="21"/>
              </w:rPr>
            </w:pPr>
            <w:r>
              <w:rPr>
                <w:rFonts w:hint="eastAsia" w:ascii="Times New Roman" w:hAnsi="Times New Roman"/>
                <w:szCs w:val="21"/>
              </w:rPr>
              <w:t>各院系（部）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44" w:hRule="atLeast"/>
          <w:jc w:val="center"/>
        </w:trPr>
        <w:tc>
          <w:tcPr>
            <w:tcW w:w="1004" w:type="dxa"/>
            <w:vMerge w:val="continue"/>
            <w:shd w:val="clear" w:color="auto" w:fill="auto"/>
            <w:vAlign w:val="center"/>
          </w:tcPr>
          <w:p>
            <w:pPr>
              <w:jc w:val="center"/>
              <w:rPr>
                <w:rFonts w:ascii="Times New Roman" w:hAnsi="Times New Roman"/>
                <w:szCs w:val="21"/>
              </w:rPr>
            </w:pPr>
          </w:p>
        </w:tc>
        <w:tc>
          <w:tcPr>
            <w:tcW w:w="724" w:type="dxa"/>
            <w:vMerge w:val="restart"/>
            <w:shd w:val="clear" w:color="auto" w:fill="auto"/>
            <w:vAlign w:val="center"/>
          </w:tcPr>
          <w:p>
            <w:pPr>
              <w:jc w:val="center"/>
              <w:rPr>
                <w:rFonts w:ascii="Times New Roman" w:hAnsi="Times New Roman"/>
                <w:szCs w:val="21"/>
              </w:rPr>
            </w:pPr>
            <w:r>
              <w:rPr>
                <w:rFonts w:ascii="Times New Roman" w:hAnsi="Times New Roman"/>
                <w:szCs w:val="21"/>
              </w:rPr>
              <w:t>4.2</w:t>
            </w:r>
            <w:r>
              <w:rPr>
                <w:rFonts w:ascii="Times New Roman" w:hAnsi="宋体"/>
                <w:szCs w:val="21"/>
              </w:rPr>
              <w:t>成长环境</w:t>
            </w:r>
          </w:p>
        </w:tc>
        <w:tc>
          <w:tcPr>
            <w:tcW w:w="897" w:type="dxa"/>
            <w:shd w:val="clear" w:color="auto" w:fill="auto"/>
            <w:vAlign w:val="center"/>
          </w:tcPr>
          <w:p>
            <w:pPr>
              <w:jc w:val="center"/>
              <w:rPr>
                <w:rFonts w:ascii="Times New Roman" w:hAnsi="Times New Roman"/>
                <w:szCs w:val="21"/>
              </w:rPr>
            </w:pPr>
            <w:r>
              <w:rPr>
                <w:rFonts w:ascii="Times New Roman" w:hAnsi="宋体"/>
                <w:szCs w:val="21"/>
              </w:rPr>
              <w:t>安全与生活保障</w:t>
            </w:r>
          </w:p>
        </w:tc>
        <w:tc>
          <w:tcPr>
            <w:tcW w:w="4650" w:type="dxa"/>
            <w:shd w:val="clear" w:color="auto" w:fill="auto"/>
            <w:vAlign w:val="center"/>
          </w:tcPr>
          <w:p>
            <w:pPr>
              <w:rPr>
                <w:rFonts w:ascii="Times New Roman" w:hAnsi="Times New Roman"/>
                <w:szCs w:val="21"/>
              </w:rPr>
            </w:pPr>
            <w:r>
              <w:rPr>
                <w:rFonts w:ascii="Times New Roman" w:hAnsi="Times New Roman"/>
                <w:szCs w:val="21"/>
              </w:rPr>
              <w:fldChar w:fldCharType="begin"/>
            </w:r>
            <w:r>
              <w:rPr>
                <w:rFonts w:ascii="Times New Roman" w:hAnsi="Times New Roman"/>
                <w:szCs w:val="21"/>
              </w:rPr>
              <w:instrText xml:space="preserve"> = 1 \* GB3 </w:instrText>
            </w:r>
            <w:r>
              <w:rPr>
                <w:rFonts w:ascii="Times New Roman" w:hAnsi="Times New Roman"/>
                <w:szCs w:val="21"/>
              </w:rPr>
              <w:fldChar w:fldCharType="separate"/>
            </w:r>
            <w:r>
              <w:rPr>
                <w:rFonts w:ascii="宋体" w:hAnsi="宋体"/>
                <w:szCs w:val="21"/>
              </w:rPr>
              <w:t>①</w:t>
            </w:r>
            <w:r>
              <w:rPr>
                <w:rFonts w:ascii="Times New Roman" w:hAnsi="Times New Roman"/>
                <w:szCs w:val="21"/>
              </w:rPr>
              <w:fldChar w:fldCharType="end"/>
            </w:r>
            <w:r>
              <w:rPr>
                <w:rFonts w:ascii="Times New Roman" w:hAnsi="宋体"/>
                <w:szCs w:val="21"/>
              </w:rPr>
              <w:t>实施对各服务部门服务质量的诊改，并形成常态化安全与生活质量保证机制；</w:t>
            </w:r>
          </w:p>
          <w:p>
            <w:pPr>
              <w:rPr>
                <w:rFonts w:ascii="Times New Roman" w:hAnsi="Times New Roman"/>
                <w:szCs w:val="21"/>
              </w:rPr>
            </w:pPr>
            <w:r>
              <w:rPr>
                <w:rFonts w:ascii="Times New Roman" w:hAnsi="Times New Roman"/>
                <w:szCs w:val="21"/>
              </w:rPr>
              <w:fldChar w:fldCharType="begin"/>
            </w:r>
            <w:r>
              <w:rPr>
                <w:rFonts w:ascii="Times New Roman" w:hAnsi="Times New Roman"/>
                <w:szCs w:val="21"/>
              </w:rPr>
              <w:instrText xml:space="preserve"> = 2 \* GB3 </w:instrText>
            </w:r>
            <w:r>
              <w:rPr>
                <w:rFonts w:ascii="Times New Roman" w:hAnsi="Times New Roman"/>
                <w:szCs w:val="21"/>
              </w:rPr>
              <w:fldChar w:fldCharType="separate"/>
            </w:r>
            <w:r>
              <w:rPr>
                <w:rFonts w:ascii="宋体" w:hAnsi="宋体"/>
                <w:szCs w:val="21"/>
              </w:rPr>
              <w:t>②</w:t>
            </w:r>
            <w:r>
              <w:rPr>
                <w:rFonts w:ascii="Times New Roman" w:hAnsi="Times New Roman"/>
                <w:szCs w:val="21"/>
              </w:rPr>
              <w:fldChar w:fldCharType="end"/>
            </w:r>
            <w:r>
              <w:rPr>
                <w:rFonts w:ascii="Times New Roman" w:hAnsi="宋体"/>
                <w:szCs w:val="21"/>
              </w:rPr>
              <w:t>学校进一步加大经费投入，安全设施不断完善，校园环境、生活生活配套设施等学生生活环境不断优化；</w:t>
            </w:r>
          </w:p>
          <w:p>
            <w:pPr>
              <w:rPr>
                <w:rFonts w:ascii="Times New Roman" w:hAnsi="Times New Roman"/>
                <w:szCs w:val="21"/>
              </w:rPr>
            </w:pPr>
            <w:r>
              <w:rPr>
                <w:rFonts w:ascii="Times New Roman" w:hAnsi="Times New Roman"/>
                <w:szCs w:val="21"/>
              </w:rPr>
              <w:fldChar w:fldCharType="begin"/>
            </w:r>
            <w:r>
              <w:rPr>
                <w:rFonts w:ascii="Times New Roman" w:hAnsi="Times New Roman"/>
                <w:szCs w:val="21"/>
              </w:rPr>
              <w:instrText xml:space="preserve"> = 3 \* GB3 </w:instrText>
            </w:r>
            <w:r>
              <w:rPr>
                <w:rFonts w:ascii="Times New Roman" w:hAnsi="Times New Roman"/>
                <w:szCs w:val="21"/>
              </w:rPr>
              <w:fldChar w:fldCharType="separate"/>
            </w:r>
            <w:r>
              <w:rPr>
                <w:rFonts w:ascii="宋体" w:hAnsi="宋体"/>
                <w:szCs w:val="21"/>
              </w:rPr>
              <w:t>③</w:t>
            </w:r>
            <w:r>
              <w:rPr>
                <w:rFonts w:ascii="Times New Roman" w:hAnsi="Times New Roman"/>
                <w:szCs w:val="21"/>
              </w:rPr>
              <w:fldChar w:fldCharType="end"/>
            </w:r>
            <w:r>
              <w:rPr>
                <w:rFonts w:ascii="Times New Roman" w:hAnsi="宋体"/>
                <w:szCs w:val="21"/>
              </w:rPr>
              <w:t>重视学生合理诉求，高效回应学生诉求，学生满意度持续提高；</w:t>
            </w:r>
          </w:p>
          <w:p>
            <w:pPr>
              <w:rPr>
                <w:rFonts w:ascii="Times New Roman" w:hAnsi="Times New Roman"/>
                <w:szCs w:val="21"/>
              </w:rPr>
            </w:pPr>
            <w:r>
              <w:rPr>
                <w:rFonts w:ascii="Times New Roman" w:hAnsi="Times New Roman"/>
                <w:szCs w:val="21"/>
              </w:rPr>
              <w:fldChar w:fldCharType="begin"/>
            </w:r>
            <w:r>
              <w:rPr>
                <w:rFonts w:ascii="Times New Roman" w:hAnsi="Times New Roman"/>
                <w:szCs w:val="21"/>
              </w:rPr>
              <w:instrText xml:space="preserve"> = 4 \* GB3 </w:instrText>
            </w:r>
            <w:r>
              <w:rPr>
                <w:rFonts w:ascii="Times New Roman" w:hAnsi="Times New Roman"/>
                <w:szCs w:val="21"/>
              </w:rPr>
              <w:fldChar w:fldCharType="separate"/>
            </w:r>
            <w:r>
              <w:rPr>
                <w:rFonts w:ascii="宋体" w:hAnsi="宋体"/>
                <w:szCs w:val="21"/>
              </w:rPr>
              <w:t>④</w:t>
            </w:r>
            <w:r>
              <w:rPr>
                <w:rFonts w:ascii="Times New Roman" w:hAnsi="Times New Roman"/>
                <w:szCs w:val="21"/>
              </w:rPr>
              <w:fldChar w:fldCharType="end"/>
            </w:r>
            <w:r>
              <w:rPr>
                <w:rFonts w:ascii="Times New Roman" w:hAnsi="Times New Roman"/>
                <w:szCs w:val="21"/>
              </w:rPr>
              <w:t>5</w:t>
            </w:r>
            <w:r>
              <w:rPr>
                <w:rFonts w:ascii="Times New Roman" w:hAnsi="宋体"/>
                <w:szCs w:val="21"/>
              </w:rPr>
              <w:t>年内无重大安全事故和其他违规办学事件发生，意外事故率不断降低。</w:t>
            </w:r>
          </w:p>
        </w:tc>
        <w:tc>
          <w:tcPr>
            <w:tcW w:w="5103" w:type="dxa"/>
            <w:vAlign w:val="center"/>
          </w:tcPr>
          <w:p>
            <w:pPr>
              <w:rPr>
                <w:rFonts w:hint="eastAsia" w:ascii="Times New Roman" w:hAnsi="Times New Roman"/>
                <w:szCs w:val="21"/>
              </w:rPr>
            </w:pPr>
            <w:r>
              <w:rPr>
                <w:rFonts w:hint="eastAsia" w:ascii="Times New Roman" w:hAnsi="Times New Roman"/>
                <w:szCs w:val="21"/>
              </w:rPr>
              <w:t>1、近三年各服务部门提出服务师生的渠道、措施及整改反馈材料；</w:t>
            </w:r>
          </w:p>
          <w:p>
            <w:pPr>
              <w:rPr>
                <w:rFonts w:hint="eastAsia" w:ascii="Times New Roman" w:hAnsi="Times New Roman"/>
                <w:szCs w:val="21"/>
              </w:rPr>
            </w:pPr>
            <w:r>
              <w:rPr>
                <w:rFonts w:hint="eastAsia" w:ascii="Times New Roman" w:hAnsi="Times New Roman"/>
                <w:szCs w:val="21"/>
              </w:rPr>
              <w:t>2、学院二级量化考核资料；</w:t>
            </w:r>
          </w:p>
          <w:p>
            <w:pPr>
              <w:rPr>
                <w:rFonts w:hint="eastAsia" w:ascii="Times New Roman" w:hAnsi="Times New Roman"/>
                <w:szCs w:val="21"/>
              </w:rPr>
            </w:pPr>
            <w:r>
              <w:rPr>
                <w:rFonts w:hint="eastAsia" w:ascii="Times New Roman" w:hAnsi="Times New Roman"/>
                <w:szCs w:val="21"/>
              </w:rPr>
              <w:t>3、学院经费收入和支出情况统计表；</w:t>
            </w:r>
          </w:p>
          <w:p>
            <w:pPr>
              <w:rPr>
                <w:rFonts w:hint="eastAsia" w:ascii="Times New Roman" w:hAnsi="Times New Roman"/>
                <w:szCs w:val="21"/>
              </w:rPr>
            </w:pPr>
            <w:r>
              <w:rPr>
                <w:rFonts w:hint="eastAsia" w:ascii="Times New Roman" w:hAnsi="Times New Roman"/>
                <w:szCs w:val="21"/>
              </w:rPr>
              <w:t>4、学院新校区建设资料；</w:t>
            </w:r>
          </w:p>
          <w:p>
            <w:pPr>
              <w:rPr>
                <w:rFonts w:hint="eastAsia" w:ascii="Times New Roman" w:hAnsi="Times New Roman"/>
                <w:szCs w:val="21"/>
              </w:rPr>
            </w:pPr>
            <w:r>
              <w:rPr>
                <w:rFonts w:hint="eastAsia" w:ascii="Times New Roman" w:hAnsi="Times New Roman"/>
                <w:szCs w:val="21"/>
              </w:rPr>
              <w:t>5、</w:t>
            </w:r>
            <w:r>
              <w:rPr>
                <w:rFonts w:ascii="Times New Roman" w:hAnsi="Times New Roman"/>
                <w:szCs w:val="21"/>
              </w:rPr>
              <w:t>学院自办师生食堂服务师生资料；</w:t>
            </w:r>
          </w:p>
          <w:p>
            <w:pPr>
              <w:rPr>
                <w:rFonts w:hint="eastAsia" w:ascii="Times New Roman" w:hAnsi="Times New Roman"/>
                <w:szCs w:val="21"/>
              </w:rPr>
            </w:pPr>
            <w:r>
              <w:rPr>
                <w:rFonts w:hint="eastAsia" w:ascii="Times New Roman" w:hAnsi="Times New Roman"/>
                <w:szCs w:val="21"/>
              </w:rPr>
              <w:t>6、</w:t>
            </w:r>
            <w:r>
              <w:rPr>
                <w:rFonts w:ascii="Times New Roman" w:hAnsi="Times New Roman"/>
                <w:szCs w:val="21"/>
              </w:rPr>
              <w:t>学院服务学生专题会议及相关资料；</w:t>
            </w:r>
          </w:p>
          <w:p>
            <w:pPr>
              <w:rPr>
                <w:rFonts w:hint="eastAsia" w:ascii="Times New Roman" w:hAnsi="Times New Roman"/>
                <w:szCs w:val="21"/>
              </w:rPr>
            </w:pPr>
            <w:r>
              <w:rPr>
                <w:rFonts w:hint="eastAsia" w:ascii="Times New Roman" w:hAnsi="Times New Roman"/>
                <w:szCs w:val="21"/>
              </w:rPr>
              <w:t>7、</w:t>
            </w:r>
            <w:r>
              <w:rPr>
                <w:rFonts w:ascii="Times New Roman" w:hAnsi="Times New Roman"/>
                <w:szCs w:val="21"/>
              </w:rPr>
              <w:t>创建第十二届省级高校“文明学校”资料</w:t>
            </w:r>
            <w:r>
              <w:rPr>
                <w:rFonts w:hint="eastAsia" w:ascii="Times New Roman" w:hAnsi="Times New Roman"/>
                <w:szCs w:val="21"/>
              </w:rPr>
              <w:t>（有关安全与生活的材料）</w:t>
            </w:r>
            <w:r>
              <w:rPr>
                <w:rFonts w:ascii="Times New Roman" w:hAnsi="Times New Roman"/>
                <w:szCs w:val="21"/>
              </w:rPr>
              <w:t>；</w:t>
            </w:r>
          </w:p>
          <w:p>
            <w:pPr>
              <w:rPr>
                <w:rFonts w:hint="eastAsia" w:ascii="Times New Roman" w:hAnsi="Times New Roman"/>
                <w:szCs w:val="21"/>
              </w:rPr>
            </w:pPr>
            <w:r>
              <w:rPr>
                <w:rFonts w:hint="eastAsia" w:ascii="Times New Roman" w:hAnsi="Times New Roman"/>
                <w:szCs w:val="21"/>
              </w:rPr>
              <w:t>8、学院服务师生宿舍修缮运行材料；</w:t>
            </w:r>
          </w:p>
          <w:p>
            <w:pPr>
              <w:rPr>
                <w:rFonts w:hint="eastAsia" w:ascii="Times New Roman" w:hAnsi="Times New Roman"/>
                <w:szCs w:val="21"/>
              </w:rPr>
            </w:pPr>
            <w:r>
              <w:rPr>
                <w:rFonts w:hint="eastAsia" w:ascii="Times New Roman" w:hAnsi="Times New Roman"/>
                <w:szCs w:val="21"/>
              </w:rPr>
              <w:t>9、近二年保卫科工作总结；</w:t>
            </w:r>
          </w:p>
          <w:p>
            <w:pPr>
              <w:rPr>
                <w:rFonts w:hint="eastAsia" w:ascii="Times New Roman" w:hAnsi="Times New Roman"/>
                <w:szCs w:val="21"/>
              </w:rPr>
            </w:pPr>
            <w:r>
              <w:rPr>
                <w:rFonts w:hint="eastAsia" w:ascii="Times New Roman" w:hAnsi="Times New Roman"/>
                <w:szCs w:val="21"/>
              </w:rPr>
              <w:t>10、学生网上投诉信息系统，学生投诉、诉求和建议的记录、总结；</w:t>
            </w:r>
          </w:p>
          <w:p>
            <w:pPr>
              <w:rPr>
                <w:rFonts w:ascii="Times New Roman" w:hAnsi="Times New Roman"/>
                <w:szCs w:val="21"/>
              </w:rPr>
            </w:pPr>
            <w:r>
              <w:rPr>
                <w:rFonts w:hint="eastAsia" w:ascii="Times New Roman" w:hAnsi="Times New Roman"/>
                <w:szCs w:val="21"/>
              </w:rPr>
              <w:t>11、近三年在校生满意度调查报告。</w:t>
            </w:r>
          </w:p>
        </w:tc>
        <w:tc>
          <w:tcPr>
            <w:tcW w:w="1096" w:type="dxa"/>
            <w:vAlign w:val="center"/>
          </w:tcPr>
          <w:p>
            <w:pPr>
              <w:jc w:val="center"/>
              <w:rPr>
                <w:rFonts w:hint="eastAsia" w:ascii="Times New Roman" w:hAnsi="Times New Roman"/>
                <w:szCs w:val="21"/>
              </w:rPr>
            </w:pPr>
            <w:r>
              <w:rPr>
                <w:rFonts w:hint="eastAsia" w:ascii="Times New Roman" w:hAnsi="Times New Roman"/>
                <w:szCs w:val="21"/>
              </w:rPr>
              <w:t>后勤处</w:t>
            </w:r>
          </w:p>
          <w:p>
            <w:pPr>
              <w:jc w:val="center"/>
              <w:rPr>
                <w:rFonts w:ascii="Times New Roman" w:hAnsi="Times New Roman"/>
                <w:szCs w:val="21"/>
              </w:rPr>
            </w:pPr>
            <w:r>
              <w:rPr>
                <w:rFonts w:hint="eastAsia" w:ascii="Times New Roman" w:hAnsi="Times New Roman"/>
                <w:szCs w:val="21"/>
              </w:rPr>
              <w:t>保卫科</w:t>
            </w:r>
          </w:p>
        </w:tc>
        <w:tc>
          <w:tcPr>
            <w:tcW w:w="1388" w:type="dxa"/>
            <w:vAlign w:val="center"/>
          </w:tcPr>
          <w:p>
            <w:pPr>
              <w:jc w:val="center"/>
              <w:rPr>
                <w:rFonts w:hint="eastAsia" w:ascii="Times New Roman" w:hAnsi="Times New Roman"/>
                <w:szCs w:val="21"/>
              </w:rPr>
            </w:pPr>
            <w:r>
              <w:rPr>
                <w:rFonts w:hint="eastAsia" w:ascii="Times New Roman" w:hAnsi="Times New Roman"/>
                <w:szCs w:val="21"/>
              </w:rPr>
              <w:t>各部门</w:t>
            </w:r>
          </w:p>
          <w:p>
            <w:pPr>
              <w:jc w:val="center"/>
              <w:rPr>
                <w:rFonts w:hint="eastAsia" w:ascii="Times New Roman" w:hAnsi="Times New Roman"/>
                <w:szCs w:val="21"/>
              </w:rPr>
            </w:pPr>
            <w:r>
              <w:rPr>
                <w:rFonts w:hint="eastAsia" w:ascii="Times New Roman" w:hAnsi="Times New Roman"/>
                <w:szCs w:val="21"/>
              </w:rPr>
              <w:t>各院系（部）</w:t>
            </w:r>
          </w:p>
          <w:p>
            <w:pPr>
              <w:jc w:val="center"/>
              <w:rPr>
                <w:rFonts w:hint="eastAsia" w:ascii="Times New Roman" w:hAnsi="Times New Roman"/>
                <w:szCs w:val="21"/>
              </w:rPr>
            </w:pPr>
            <w:r>
              <w:rPr>
                <w:rFonts w:hint="eastAsia" w:ascii="Times New Roman" w:hAnsi="Times New Roman"/>
                <w:szCs w:val="21"/>
              </w:rPr>
              <w:t>党工部</w:t>
            </w:r>
          </w:p>
          <w:p>
            <w:pPr>
              <w:jc w:val="center"/>
              <w:rPr>
                <w:rFonts w:hint="eastAsia" w:ascii="Times New Roman" w:hAnsi="Times New Roman"/>
                <w:szCs w:val="21"/>
              </w:rPr>
            </w:pPr>
            <w:r>
              <w:rPr>
                <w:rFonts w:hint="eastAsia" w:ascii="Times New Roman" w:hAnsi="Times New Roman"/>
                <w:szCs w:val="21"/>
              </w:rPr>
              <w:t>办公室</w:t>
            </w:r>
          </w:p>
          <w:p>
            <w:pPr>
              <w:jc w:val="center"/>
              <w:rPr>
                <w:rFonts w:hint="eastAsia" w:ascii="Times New Roman" w:hAnsi="Times New Roman"/>
                <w:szCs w:val="21"/>
              </w:rPr>
            </w:pPr>
            <w:r>
              <w:rPr>
                <w:rFonts w:hint="eastAsia" w:ascii="Times New Roman" w:hAnsi="Times New Roman"/>
                <w:szCs w:val="21"/>
              </w:rPr>
              <w:t>后勤处</w:t>
            </w:r>
          </w:p>
          <w:p>
            <w:pPr>
              <w:jc w:val="center"/>
              <w:rPr>
                <w:rFonts w:hint="eastAsia" w:ascii="Times New Roman" w:hAnsi="Times New Roman"/>
                <w:szCs w:val="21"/>
              </w:rPr>
            </w:pPr>
            <w:r>
              <w:rPr>
                <w:rFonts w:hint="eastAsia" w:ascii="Times New Roman" w:hAnsi="Times New Roman"/>
                <w:szCs w:val="21"/>
              </w:rPr>
              <w:t>保卫科</w:t>
            </w:r>
          </w:p>
          <w:p>
            <w:pPr>
              <w:jc w:val="center"/>
              <w:rPr>
                <w:rFonts w:hint="eastAsia" w:ascii="Times New Roman" w:hAnsi="Times New Roman"/>
                <w:szCs w:val="21"/>
              </w:rPr>
            </w:pPr>
            <w:r>
              <w:rPr>
                <w:rFonts w:hint="eastAsia" w:ascii="Times New Roman" w:hAnsi="Times New Roman"/>
                <w:szCs w:val="21"/>
              </w:rPr>
              <w:t>监察审计室</w:t>
            </w:r>
          </w:p>
          <w:p>
            <w:pPr>
              <w:jc w:val="center"/>
              <w:rPr>
                <w:rFonts w:hint="eastAsia" w:ascii="Times New Roman" w:hAnsi="Times New Roman"/>
                <w:szCs w:val="21"/>
              </w:rPr>
            </w:pPr>
            <w:r>
              <w:rPr>
                <w:rFonts w:hint="eastAsia" w:ascii="Times New Roman" w:hAnsi="Times New Roman"/>
                <w:szCs w:val="21"/>
              </w:rPr>
              <w:t>现代教育技术中心</w:t>
            </w:r>
          </w:p>
          <w:p>
            <w:pPr>
              <w:jc w:val="center"/>
              <w:rPr>
                <w:rFonts w:hint="eastAsia" w:ascii="Times New Roman" w:hAnsi="Times New Roman"/>
                <w:szCs w:val="21"/>
              </w:rPr>
            </w:pPr>
            <w:r>
              <w:rPr>
                <w:rFonts w:hint="eastAsia" w:ascii="Times New Roman" w:hAnsi="Times New Roman"/>
                <w:szCs w:val="21"/>
              </w:rPr>
              <w:t>学工处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7" w:hRule="atLeast"/>
          <w:jc w:val="center"/>
        </w:trPr>
        <w:tc>
          <w:tcPr>
            <w:tcW w:w="1004" w:type="dxa"/>
            <w:vMerge w:val="continue"/>
            <w:shd w:val="clear" w:color="auto" w:fill="auto"/>
            <w:vAlign w:val="center"/>
          </w:tcPr>
          <w:p>
            <w:pPr>
              <w:jc w:val="center"/>
              <w:rPr>
                <w:rFonts w:ascii="Times New Roman" w:hAnsi="Times New Roman"/>
                <w:szCs w:val="21"/>
              </w:rPr>
            </w:pPr>
          </w:p>
        </w:tc>
        <w:tc>
          <w:tcPr>
            <w:tcW w:w="724" w:type="dxa"/>
            <w:vMerge w:val="continue"/>
            <w:shd w:val="clear" w:color="auto" w:fill="auto"/>
            <w:vAlign w:val="center"/>
          </w:tcPr>
          <w:p>
            <w:pPr>
              <w:jc w:val="center"/>
              <w:rPr>
                <w:rFonts w:ascii="Times New Roman" w:hAnsi="Times New Roman"/>
                <w:szCs w:val="21"/>
              </w:rPr>
            </w:pPr>
          </w:p>
        </w:tc>
        <w:tc>
          <w:tcPr>
            <w:tcW w:w="897" w:type="dxa"/>
            <w:shd w:val="clear" w:color="auto" w:fill="auto"/>
            <w:vAlign w:val="center"/>
          </w:tcPr>
          <w:p>
            <w:pPr>
              <w:jc w:val="center"/>
              <w:rPr>
                <w:rFonts w:ascii="Times New Roman" w:hAnsi="Times New Roman"/>
                <w:szCs w:val="21"/>
              </w:rPr>
            </w:pPr>
            <w:r>
              <w:rPr>
                <w:rFonts w:ascii="Times New Roman" w:hAnsi="宋体"/>
                <w:szCs w:val="21"/>
              </w:rPr>
              <w:t>特殊学生群体服务与资助</w:t>
            </w:r>
          </w:p>
        </w:tc>
        <w:tc>
          <w:tcPr>
            <w:tcW w:w="4650" w:type="dxa"/>
            <w:shd w:val="clear" w:color="auto" w:fill="auto"/>
            <w:vAlign w:val="center"/>
          </w:tcPr>
          <w:p>
            <w:pPr>
              <w:spacing w:line="400" w:lineRule="exact"/>
              <w:rPr>
                <w:rFonts w:ascii="Times New Roman" w:hAnsi="Times New Roman"/>
                <w:szCs w:val="21"/>
              </w:rPr>
            </w:pPr>
            <w:r>
              <w:rPr>
                <w:rFonts w:ascii="Times New Roman" w:hAnsi="Times New Roman"/>
                <w:szCs w:val="21"/>
              </w:rPr>
              <w:fldChar w:fldCharType="begin"/>
            </w:r>
            <w:r>
              <w:rPr>
                <w:rFonts w:ascii="Times New Roman" w:hAnsi="Times New Roman"/>
                <w:szCs w:val="21"/>
              </w:rPr>
              <w:instrText xml:space="preserve"> = 1 \* GB3 </w:instrText>
            </w:r>
            <w:r>
              <w:rPr>
                <w:rFonts w:ascii="Times New Roman" w:hAnsi="Times New Roman"/>
                <w:szCs w:val="21"/>
              </w:rPr>
              <w:fldChar w:fldCharType="separate"/>
            </w:r>
            <w:r>
              <w:rPr>
                <w:rFonts w:ascii="宋体" w:hAnsi="宋体"/>
                <w:szCs w:val="21"/>
              </w:rPr>
              <w:t>①</w:t>
            </w:r>
            <w:r>
              <w:rPr>
                <w:rFonts w:ascii="Times New Roman" w:hAnsi="Times New Roman"/>
                <w:szCs w:val="21"/>
              </w:rPr>
              <w:fldChar w:fldCharType="end"/>
            </w:r>
            <w:r>
              <w:rPr>
                <w:rFonts w:ascii="Times New Roman" w:hAnsi="宋体"/>
                <w:szCs w:val="21"/>
              </w:rPr>
              <w:t>建立家庭困难学生、残障学生、少数民族学生等特殊学生生活保障管理制度，各类制度得到较好的贯彻落实；</w:t>
            </w:r>
          </w:p>
          <w:p>
            <w:pPr>
              <w:spacing w:line="400" w:lineRule="exact"/>
              <w:rPr>
                <w:rFonts w:ascii="Times New Roman" w:hAnsi="Times New Roman"/>
                <w:szCs w:val="21"/>
              </w:rPr>
            </w:pPr>
            <w:r>
              <w:rPr>
                <w:rFonts w:ascii="Times New Roman" w:hAnsi="Times New Roman"/>
                <w:szCs w:val="21"/>
              </w:rPr>
              <w:fldChar w:fldCharType="begin"/>
            </w:r>
            <w:r>
              <w:rPr>
                <w:rFonts w:ascii="Times New Roman" w:hAnsi="Times New Roman"/>
                <w:szCs w:val="21"/>
              </w:rPr>
              <w:instrText xml:space="preserve"> = 2 \* GB3 </w:instrText>
            </w:r>
            <w:r>
              <w:rPr>
                <w:rFonts w:ascii="Times New Roman" w:hAnsi="Times New Roman"/>
                <w:szCs w:val="21"/>
              </w:rPr>
              <w:fldChar w:fldCharType="separate"/>
            </w:r>
            <w:r>
              <w:rPr>
                <w:rFonts w:ascii="宋体" w:hAnsi="宋体"/>
                <w:szCs w:val="21"/>
              </w:rPr>
              <w:t>②</w:t>
            </w:r>
            <w:r>
              <w:rPr>
                <w:rFonts w:ascii="Times New Roman" w:hAnsi="Times New Roman"/>
                <w:szCs w:val="21"/>
              </w:rPr>
              <w:fldChar w:fldCharType="end"/>
            </w:r>
            <w:r>
              <w:rPr>
                <w:rFonts w:ascii="Times New Roman" w:hAnsi="宋体"/>
                <w:szCs w:val="21"/>
              </w:rPr>
              <w:t>形成完整的学生心理健康教育活动体系，建有符合标准的心理咨询室，配置必要的心理健康教育和服务设施，配有充足的专职心理健康教师；</w:t>
            </w:r>
          </w:p>
          <w:p>
            <w:pPr>
              <w:spacing w:line="400" w:lineRule="exact"/>
              <w:rPr>
                <w:rFonts w:ascii="Times New Roman" w:hAnsi="Times New Roman"/>
                <w:szCs w:val="21"/>
              </w:rPr>
            </w:pPr>
            <w:r>
              <w:rPr>
                <w:rFonts w:ascii="Times New Roman" w:hAnsi="Times New Roman"/>
                <w:szCs w:val="21"/>
              </w:rPr>
              <w:fldChar w:fldCharType="begin"/>
            </w:r>
            <w:r>
              <w:rPr>
                <w:rFonts w:ascii="Times New Roman" w:hAnsi="Times New Roman"/>
                <w:szCs w:val="21"/>
              </w:rPr>
              <w:instrText xml:space="preserve"> = 3 \* GB3 </w:instrText>
            </w:r>
            <w:r>
              <w:rPr>
                <w:rFonts w:ascii="Times New Roman" w:hAnsi="Times New Roman"/>
                <w:szCs w:val="21"/>
              </w:rPr>
              <w:fldChar w:fldCharType="separate"/>
            </w:r>
            <w:r>
              <w:rPr>
                <w:rFonts w:ascii="宋体" w:hAnsi="宋体"/>
                <w:szCs w:val="21"/>
              </w:rPr>
              <w:t>③</w:t>
            </w:r>
            <w:r>
              <w:rPr>
                <w:rFonts w:ascii="Times New Roman" w:hAnsi="Times New Roman"/>
                <w:szCs w:val="21"/>
              </w:rPr>
              <w:fldChar w:fldCharType="end"/>
            </w:r>
            <w:r>
              <w:rPr>
                <w:rFonts w:ascii="Times New Roman" w:hAnsi="宋体"/>
                <w:szCs w:val="21"/>
              </w:rPr>
              <w:t>重视特殊学生群众成长，为特殊学生群体提供必要的设施、人员、资金、文化等保障。</w:t>
            </w:r>
          </w:p>
        </w:tc>
        <w:tc>
          <w:tcPr>
            <w:tcW w:w="5103" w:type="dxa"/>
            <w:vAlign w:val="center"/>
          </w:tcPr>
          <w:p>
            <w:pPr>
              <w:rPr>
                <w:rFonts w:hint="eastAsia" w:ascii="Times New Roman" w:hAnsi="宋体"/>
                <w:szCs w:val="21"/>
              </w:rPr>
            </w:pPr>
            <w:r>
              <w:rPr>
                <w:rFonts w:hint="eastAsia" w:ascii="Times New Roman" w:hAnsi="Times New Roman"/>
                <w:szCs w:val="21"/>
              </w:rPr>
              <w:t>1、</w:t>
            </w:r>
            <w:r>
              <w:rPr>
                <w:rFonts w:ascii="Times New Roman" w:hAnsi="宋体"/>
                <w:szCs w:val="21"/>
              </w:rPr>
              <w:t>特殊学生生活保障管理制度</w:t>
            </w:r>
            <w:r>
              <w:rPr>
                <w:rFonts w:hint="eastAsia" w:ascii="Times New Roman" w:hAnsi="宋体"/>
                <w:szCs w:val="21"/>
              </w:rPr>
              <w:t>汇编；</w:t>
            </w:r>
          </w:p>
          <w:p>
            <w:pPr>
              <w:rPr>
                <w:rFonts w:hint="eastAsia" w:ascii="Times New Roman" w:hAnsi="Times New Roman"/>
                <w:szCs w:val="21"/>
              </w:rPr>
            </w:pPr>
            <w:r>
              <w:rPr>
                <w:rFonts w:hint="eastAsia" w:ascii="Times New Roman" w:hAnsi="Times New Roman"/>
                <w:szCs w:val="21"/>
              </w:rPr>
              <w:t>2、学院心理健康制度；</w:t>
            </w:r>
          </w:p>
          <w:p>
            <w:pPr>
              <w:rPr>
                <w:rFonts w:hint="eastAsia" w:ascii="Times New Roman" w:hAnsi="宋体"/>
                <w:szCs w:val="21"/>
              </w:rPr>
            </w:pPr>
            <w:r>
              <w:rPr>
                <w:rFonts w:hint="eastAsia" w:ascii="Times New Roman" w:hAnsi="Times New Roman"/>
                <w:szCs w:val="21"/>
              </w:rPr>
              <w:t>3、</w:t>
            </w:r>
            <w:r>
              <w:rPr>
                <w:rFonts w:ascii="Times New Roman" w:hAnsi="宋体"/>
                <w:szCs w:val="21"/>
              </w:rPr>
              <w:t>专职心理健康教师</w:t>
            </w:r>
            <w:r>
              <w:rPr>
                <w:rFonts w:hint="eastAsia" w:ascii="Times New Roman" w:hAnsi="宋体"/>
                <w:szCs w:val="21"/>
              </w:rPr>
              <w:t>一览表；</w:t>
            </w:r>
          </w:p>
          <w:p>
            <w:pPr>
              <w:rPr>
                <w:rFonts w:hint="eastAsia" w:ascii="Times New Roman" w:hAnsi="宋体"/>
                <w:szCs w:val="21"/>
              </w:rPr>
            </w:pPr>
            <w:r>
              <w:rPr>
                <w:rFonts w:hint="eastAsia" w:ascii="Times New Roman" w:hAnsi="宋体"/>
                <w:szCs w:val="21"/>
              </w:rPr>
              <w:t>4、学院开展学生心理健康咨询等运行相关材料；</w:t>
            </w:r>
          </w:p>
          <w:p>
            <w:pPr>
              <w:rPr>
                <w:rFonts w:hint="eastAsia" w:ascii="Times New Roman" w:hAnsi="宋体"/>
                <w:szCs w:val="21"/>
              </w:rPr>
            </w:pPr>
            <w:r>
              <w:rPr>
                <w:rFonts w:hint="eastAsia" w:ascii="Times New Roman" w:hAnsi="宋体"/>
                <w:szCs w:val="21"/>
              </w:rPr>
              <w:t>5、学院为</w:t>
            </w:r>
            <w:r>
              <w:rPr>
                <w:rFonts w:ascii="Times New Roman" w:hAnsi="宋体"/>
                <w:szCs w:val="21"/>
              </w:rPr>
              <w:t>特殊学生群体</w:t>
            </w:r>
            <w:r>
              <w:rPr>
                <w:rFonts w:hint="eastAsia" w:ascii="Times New Roman" w:hAnsi="宋体"/>
                <w:szCs w:val="21"/>
              </w:rPr>
              <w:t>开展的系列资助活动材料；</w:t>
            </w:r>
          </w:p>
          <w:p>
            <w:pPr>
              <w:rPr>
                <w:rFonts w:hint="eastAsia" w:ascii="Times New Roman" w:hAnsi="宋体"/>
                <w:szCs w:val="21"/>
              </w:rPr>
            </w:pPr>
            <w:r>
              <w:rPr>
                <w:rFonts w:hint="eastAsia" w:ascii="Times New Roman" w:hAnsi="宋体"/>
                <w:szCs w:val="21"/>
              </w:rPr>
              <w:t>6、学院开展爱心节资料；</w:t>
            </w:r>
          </w:p>
          <w:p>
            <w:pPr>
              <w:rPr>
                <w:rFonts w:ascii="Times New Roman" w:hAnsi="Times New Roman"/>
                <w:szCs w:val="21"/>
              </w:rPr>
            </w:pPr>
            <w:r>
              <w:rPr>
                <w:rFonts w:hint="eastAsia" w:ascii="Times New Roman" w:hAnsi="宋体"/>
                <w:szCs w:val="21"/>
              </w:rPr>
              <w:t>7、东西联动、院校合作资料。</w:t>
            </w:r>
          </w:p>
        </w:tc>
        <w:tc>
          <w:tcPr>
            <w:tcW w:w="1096" w:type="dxa"/>
            <w:vAlign w:val="center"/>
          </w:tcPr>
          <w:p>
            <w:pPr>
              <w:jc w:val="center"/>
              <w:rPr>
                <w:rFonts w:ascii="Times New Roman" w:hAnsi="Times New Roman"/>
                <w:szCs w:val="21"/>
              </w:rPr>
            </w:pPr>
            <w:r>
              <w:rPr>
                <w:rFonts w:hint="eastAsia" w:ascii="Times New Roman" w:hAnsi="Times New Roman"/>
                <w:szCs w:val="21"/>
              </w:rPr>
              <w:t>学工处</w:t>
            </w:r>
          </w:p>
        </w:tc>
        <w:tc>
          <w:tcPr>
            <w:tcW w:w="1388" w:type="dxa"/>
            <w:vAlign w:val="center"/>
          </w:tcPr>
          <w:p>
            <w:pPr>
              <w:jc w:val="center"/>
              <w:rPr>
                <w:rFonts w:hint="eastAsia" w:ascii="Times New Roman" w:hAnsi="Times New Roman"/>
                <w:szCs w:val="21"/>
              </w:rPr>
            </w:pPr>
            <w:r>
              <w:rPr>
                <w:rFonts w:hint="eastAsia" w:ascii="Times New Roman" w:hAnsi="Times New Roman"/>
                <w:szCs w:val="21"/>
              </w:rPr>
              <w:t>学工处</w:t>
            </w:r>
          </w:p>
          <w:p>
            <w:pPr>
              <w:jc w:val="center"/>
              <w:rPr>
                <w:rFonts w:hint="eastAsia" w:ascii="Times New Roman" w:hAnsi="Times New Roman"/>
                <w:szCs w:val="21"/>
              </w:rPr>
            </w:pPr>
            <w:r>
              <w:rPr>
                <w:rFonts w:hint="eastAsia" w:ascii="Times New Roman" w:hAnsi="Times New Roman"/>
                <w:szCs w:val="21"/>
              </w:rPr>
              <w:t>团委</w:t>
            </w:r>
          </w:p>
          <w:p>
            <w:pPr>
              <w:jc w:val="center"/>
              <w:rPr>
                <w:rFonts w:hint="eastAsia" w:ascii="Times New Roman" w:hAnsi="Times New Roman"/>
                <w:szCs w:val="21"/>
              </w:rPr>
            </w:pPr>
            <w:r>
              <w:rPr>
                <w:rFonts w:hint="eastAsia" w:ascii="Times New Roman" w:hAnsi="Times New Roman"/>
                <w:szCs w:val="21"/>
              </w:rPr>
              <w:t>招就处</w:t>
            </w:r>
          </w:p>
          <w:p>
            <w:pPr>
              <w:jc w:val="center"/>
              <w:rPr>
                <w:rFonts w:hint="eastAsia" w:ascii="Times New Roman" w:hAnsi="Times New Roman"/>
                <w:szCs w:val="21"/>
              </w:rPr>
            </w:pPr>
            <w:r>
              <w:rPr>
                <w:rFonts w:hint="eastAsia" w:ascii="Times New Roman" w:hAnsi="Times New Roman"/>
                <w:szCs w:val="21"/>
              </w:rPr>
              <w:t>各部门</w:t>
            </w:r>
          </w:p>
          <w:p>
            <w:pPr>
              <w:jc w:val="center"/>
              <w:rPr>
                <w:rFonts w:ascii="Times New Roman" w:hAnsi="Times New Roman"/>
                <w:szCs w:val="21"/>
              </w:rPr>
            </w:pPr>
            <w:r>
              <w:rPr>
                <w:rFonts w:hint="eastAsia" w:ascii="Times New Roman" w:hAnsi="Times New Roman"/>
                <w:szCs w:val="21"/>
              </w:rPr>
              <w:t>各院系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17" w:hRule="atLeast"/>
          <w:jc w:val="center"/>
        </w:trPr>
        <w:tc>
          <w:tcPr>
            <w:tcW w:w="1004" w:type="dxa"/>
            <w:vMerge w:val="restart"/>
            <w:shd w:val="clear" w:color="auto" w:fill="auto"/>
            <w:vAlign w:val="center"/>
          </w:tcPr>
          <w:p>
            <w:pPr>
              <w:jc w:val="center"/>
              <w:rPr>
                <w:rFonts w:ascii="Times New Roman" w:hAnsi="Times New Roman"/>
                <w:szCs w:val="21"/>
              </w:rPr>
            </w:pPr>
            <w:r>
              <w:rPr>
                <w:rFonts w:ascii="Times New Roman" w:hAnsi="Times New Roman"/>
                <w:b/>
                <w:sz w:val="24"/>
              </w:rPr>
              <w:t xml:space="preserve">5 </w:t>
            </w:r>
            <w:r>
              <w:rPr>
                <w:rFonts w:ascii="Times New Roman" w:hAnsi="宋体"/>
                <w:b/>
                <w:sz w:val="24"/>
              </w:rPr>
              <w:t>体系运行效果</w:t>
            </w:r>
            <w:r>
              <w:rPr>
                <w:rFonts w:hint="eastAsia" w:ascii="Times New Roman" w:hAnsi="Times New Roman"/>
                <w:b/>
                <w:sz w:val="24"/>
              </w:rPr>
              <w:t>（负责部门：质量监控中心）</w:t>
            </w:r>
          </w:p>
        </w:tc>
        <w:tc>
          <w:tcPr>
            <w:tcW w:w="724" w:type="dxa"/>
            <w:vMerge w:val="restart"/>
            <w:shd w:val="clear" w:color="auto" w:fill="auto"/>
            <w:vAlign w:val="center"/>
          </w:tcPr>
          <w:p>
            <w:pPr>
              <w:jc w:val="center"/>
              <w:rPr>
                <w:rFonts w:ascii="Times New Roman" w:hAnsi="Times New Roman"/>
                <w:szCs w:val="21"/>
              </w:rPr>
            </w:pPr>
            <w:r>
              <w:rPr>
                <w:rFonts w:ascii="Times New Roman" w:hAnsi="Times New Roman"/>
                <w:szCs w:val="21"/>
              </w:rPr>
              <w:t>5.1</w:t>
            </w:r>
            <w:r>
              <w:rPr>
                <w:rFonts w:ascii="Times New Roman" w:hAnsi="宋体"/>
                <w:szCs w:val="21"/>
              </w:rPr>
              <w:t>外部环境改进</w:t>
            </w:r>
          </w:p>
        </w:tc>
        <w:tc>
          <w:tcPr>
            <w:tcW w:w="897" w:type="dxa"/>
            <w:tcBorders>
              <w:bottom w:val="single" w:color="auto" w:sz="4" w:space="0"/>
            </w:tcBorders>
            <w:shd w:val="clear" w:color="auto" w:fill="auto"/>
            <w:vAlign w:val="center"/>
          </w:tcPr>
          <w:p>
            <w:pPr>
              <w:jc w:val="center"/>
              <w:rPr>
                <w:rFonts w:ascii="Times New Roman" w:hAnsi="Times New Roman"/>
                <w:szCs w:val="21"/>
              </w:rPr>
            </w:pPr>
            <w:r>
              <w:rPr>
                <w:rFonts w:ascii="Times New Roman" w:hAnsi="宋体"/>
                <w:szCs w:val="21"/>
              </w:rPr>
              <w:t>政策环境</w:t>
            </w:r>
          </w:p>
        </w:tc>
        <w:tc>
          <w:tcPr>
            <w:tcW w:w="4650" w:type="dxa"/>
            <w:tcBorders>
              <w:bottom w:val="single" w:color="auto" w:sz="4" w:space="0"/>
            </w:tcBorders>
            <w:shd w:val="clear" w:color="auto" w:fill="auto"/>
            <w:vAlign w:val="center"/>
          </w:tcPr>
          <w:p>
            <w:pPr>
              <w:spacing w:line="440" w:lineRule="exact"/>
              <w:rPr>
                <w:rFonts w:ascii="Times New Roman" w:hAnsi="Times New Roman"/>
                <w:szCs w:val="21"/>
              </w:rPr>
            </w:pPr>
            <w:r>
              <w:rPr>
                <w:rFonts w:ascii="Times New Roman" w:hAnsi="Times New Roman"/>
                <w:szCs w:val="21"/>
              </w:rPr>
              <w:fldChar w:fldCharType="begin"/>
            </w:r>
            <w:r>
              <w:rPr>
                <w:rFonts w:ascii="Times New Roman" w:hAnsi="Times New Roman"/>
                <w:szCs w:val="21"/>
              </w:rPr>
              <w:instrText xml:space="preserve"> = 1 \* GB3 </w:instrText>
            </w:r>
            <w:r>
              <w:rPr>
                <w:rFonts w:ascii="Times New Roman" w:hAnsi="Times New Roman"/>
                <w:szCs w:val="21"/>
              </w:rPr>
              <w:fldChar w:fldCharType="separate"/>
            </w:r>
            <w:r>
              <w:rPr>
                <w:rFonts w:ascii="宋体" w:hAnsi="宋体"/>
                <w:szCs w:val="21"/>
              </w:rPr>
              <w:t>①</w:t>
            </w:r>
            <w:r>
              <w:rPr>
                <w:rFonts w:ascii="Times New Roman" w:hAnsi="Times New Roman"/>
                <w:szCs w:val="21"/>
              </w:rPr>
              <w:fldChar w:fldCharType="end"/>
            </w:r>
            <w:r>
              <w:rPr>
                <w:rFonts w:ascii="Times New Roman" w:hAnsi="宋体"/>
                <w:szCs w:val="21"/>
              </w:rPr>
              <w:t>积极引入社会资源支持学校办学，形成协同育人机制，与有关政府部门、行业企业合作办学、合作育人、合作就业、合作发展；</w:t>
            </w:r>
          </w:p>
          <w:p>
            <w:pPr>
              <w:spacing w:line="440" w:lineRule="exact"/>
              <w:rPr>
                <w:rFonts w:ascii="Times New Roman" w:hAnsi="Times New Roman"/>
                <w:szCs w:val="21"/>
              </w:rPr>
            </w:pPr>
            <w:r>
              <w:rPr>
                <w:rFonts w:ascii="Times New Roman" w:hAnsi="Times New Roman"/>
                <w:szCs w:val="21"/>
              </w:rPr>
              <w:fldChar w:fldCharType="begin"/>
            </w:r>
            <w:r>
              <w:rPr>
                <w:rFonts w:ascii="Times New Roman" w:hAnsi="Times New Roman"/>
                <w:szCs w:val="21"/>
              </w:rPr>
              <w:instrText xml:space="preserve"> = 2 \* GB3 </w:instrText>
            </w:r>
            <w:r>
              <w:rPr>
                <w:rFonts w:ascii="Times New Roman" w:hAnsi="Times New Roman"/>
                <w:szCs w:val="21"/>
              </w:rPr>
              <w:fldChar w:fldCharType="separate"/>
            </w:r>
            <w:r>
              <w:rPr>
                <w:rFonts w:ascii="宋体" w:hAnsi="宋体"/>
                <w:szCs w:val="21"/>
              </w:rPr>
              <w:t>②</w:t>
            </w:r>
            <w:r>
              <w:rPr>
                <w:rFonts w:ascii="Times New Roman" w:hAnsi="Times New Roman"/>
                <w:szCs w:val="21"/>
              </w:rPr>
              <w:fldChar w:fldCharType="end"/>
            </w:r>
            <w:r>
              <w:rPr>
                <w:rFonts w:ascii="Times New Roman" w:hAnsi="宋体"/>
                <w:szCs w:val="21"/>
              </w:rPr>
              <w:t>学校外部宏观政策环境和内部微观政策环境有利于质量保证体系和人才培养质量持续改进与完善。</w:t>
            </w:r>
          </w:p>
        </w:tc>
        <w:tc>
          <w:tcPr>
            <w:tcW w:w="5103" w:type="dxa"/>
            <w:tcBorders>
              <w:bottom w:val="single" w:color="auto" w:sz="4" w:space="0"/>
            </w:tcBorders>
            <w:vAlign w:val="center"/>
          </w:tcPr>
          <w:p>
            <w:pPr>
              <w:rPr>
                <w:rFonts w:hint="eastAsia" w:ascii="Times New Roman" w:hAnsi="宋体"/>
                <w:szCs w:val="21"/>
              </w:rPr>
            </w:pPr>
            <w:r>
              <w:rPr>
                <w:rFonts w:hint="eastAsia" w:ascii="Times New Roman" w:hAnsi="宋体"/>
                <w:szCs w:val="21"/>
              </w:rPr>
              <w:t>1、</w:t>
            </w:r>
            <w:r>
              <w:rPr>
                <w:rFonts w:ascii="Times New Roman" w:hAnsi="宋体"/>
                <w:szCs w:val="21"/>
              </w:rPr>
              <w:t>地方政府支持学院发展文件汇总；</w:t>
            </w:r>
          </w:p>
          <w:p>
            <w:pPr>
              <w:rPr>
                <w:rFonts w:hint="eastAsia" w:ascii="Times New Roman" w:hAnsi="宋体"/>
                <w:szCs w:val="21"/>
              </w:rPr>
            </w:pPr>
            <w:r>
              <w:rPr>
                <w:rFonts w:hint="eastAsia" w:ascii="Times New Roman" w:hAnsi="宋体"/>
                <w:szCs w:val="21"/>
              </w:rPr>
              <w:t>2、</w:t>
            </w:r>
            <w:r>
              <w:rPr>
                <w:rFonts w:ascii="Times New Roman" w:hAnsi="宋体"/>
                <w:szCs w:val="21"/>
              </w:rPr>
              <w:t>学院校企合作制度文件；</w:t>
            </w:r>
          </w:p>
          <w:p>
            <w:pPr>
              <w:rPr>
                <w:rFonts w:hint="eastAsia" w:ascii="Times New Roman" w:hAnsi="宋体"/>
                <w:szCs w:val="21"/>
              </w:rPr>
            </w:pPr>
            <w:r>
              <w:rPr>
                <w:rFonts w:hint="eastAsia" w:ascii="Times New Roman" w:hAnsi="宋体"/>
                <w:szCs w:val="21"/>
              </w:rPr>
              <w:t>3、校企合作典型材料；</w:t>
            </w:r>
          </w:p>
          <w:p>
            <w:pPr>
              <w:rPr>
                <w:rFonts w:ascii="Times New Roman" w:hAnsi="Times New Roman"/>
                <w:szCs w:val="21"/>
              </w:rPr>
            </w:pPr>
            <w:r>
              <w:rPr>
                <w:rFonts w:hint="eastAsia" w:ascii="Times New Roman" w:hAnsi="宋体"/>
                <w:szCs w:val="21"/>
              </w:rPr>
              <w:t>4、新校区建设材料。</w:t>
            </w:r>
          </w:p>
        </w:tc>
        <w:tc>
          <w:tcPr>
            <w:tcW w:w="1096" w:type="dxa"/>
            <w:tcBorders>
              <w:bottom w:val="single" w:color="auto" w:sz="4" w:space="0"/>
            </w:tcBorders>
            <w:vAlign w:val="center"/>
          </w:tcPr>
          <w:p>
            <w:pPr>
              <w:jc w:val="center"/>
              <w:rPr>
                <w:rFonts w:hAnsi="宋体"/>
                <w:szCs w:val="21"/>
              </w:rPr>
            </w:pPr>
            <w:r>
              <w:rPr>
                <w:rFonts w:hint="eastAsia" w:hAnsi="宋体"/>
                <w:szCs w:val="21"/>
              </w:rPr>
              <w:t>质控中心</w:t>
            </w:r>
          </w:p>
        </w:tc>
        <w:tc>
          <w:tcPr>
            <w:tcW w:w="1388" w:type="dxa"/>
            <w:tcBorders>
              <w:bottom w:val="single" w:color="auto" w:sz="4" w:space="0"/>
            </w:tcBorders>
            <w:vAlign w:val="center"/>
          </w:tcPr>
          <w:p>
            <w:pPr>
              <w:jc w:val="center"/>
              <w:rPr>
                <w:rFonts w:hint="eastAsia" w:hAnsi="宋体"/>
                <w:szCs w:val="21"/>
              </w:rPr>
            </w:pPr>
            <w:r>
              <w:rPr>
                <w:rFonts w:hint="eastAsia" w:hAnsi="宋体"/>
                <w:szCs w:val="21"/>
              </w:rPr>
              <w:t>办公室</w:t>
            </w:r>
          </w:p>
          <w:p>
            <w:pPr>
              <w:jc w:val="center"/>
              <w:rPr>
                <w:rFonts w:hint="eastAsia" w:hAnsi="宋体"/>
                <w:szCs w:val="21"/>
              </w:rPr>
            </w:pPr>
            <w:r>
              <w:rPr>
                <w:rFonts w:hint="eastAsia" w:hAnsi="宋体"/>
                <w:szCs w:val="21"/>
              </w:rPr>
              <w:t>校企合作办</w:t>
            </w:r>
          </w:p>
          <w:p>
            <w:pPr>
              <w:jc w:val="center"/>
              <w:rPr>
                <w:rFonts w:hAnsi="宋体"/>
                <w:szCs w:val="21"/>
              </w:rPr>
            </w:pPr>
            <w:r>
              <w:rPr>
                <w:rFonts w:hint="eastAsia" w:hAnsi="宋体"/>
                <w:szCs w:val="21"/>
              </w:rPr>
              <w:t>后勤处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1" w:hRule="atLeast"/>
          <w:jc w:val="center"/>
        </w:trPr>
        <w:tc>
          <w:tcPr>
            <w:tcW w:w="1004" w:type="dxa"/>
            <w:vMerge w:val="continue"/>
            <w:shd w:val="clear" w:color="auto" w:fill="auto"/>
            <w:vAlign w:val="center"/>
          </w:tcPr>
          <w:p>
            <w:pPr>
              <w:jc w:val="center"/>
              <w:rPr>
                <w:rFonts w:ascii="Times New Roman" w:hAnsi="Times New Roman"/>
                <w:szCs w:val="21"/>
              </w:rPr>
            </w:pPr>
          </w:p>
        </w:tc>
        <w:tc>
          <w:tcPr>
            <w:tcW w:w="724" w:type="dxa"/>
            <w:vMerge w:val="continue"/>
            <w:shd w:val="clear" w:color="auto" w:fill="auto"/>
            <w:vAlign w:val="center"/>
          </w:tcPr>
          <w:p>
            <w:pPr>
              <w:jc w:val="center"/>
              <w:rPr>
                <w:rFonts w:ascii="Times New Roman" w:hAnsi="Times New Roman"/>
                <w:szCs w:val="21"/>
              </w:rPr>
            </w:pPr>
          </w:p>
        </w:tc>
        <w:tc>
          <w:tcPr>
            <w:tcW w:w="897" w:type="dxa"/>
            <w:tcBorders>
              <w:bottom w:val="single" w:color="auto" w:sz="4" w:space="0"/>
            </w:tcBorders>
            <w:shd w:val="clear" w:color="auto" w:fill="auto"/>
            <w:vAlign w:val="center"/>
          </w:tcPr>
          <w:p>
            <w:pPr>
              <w:jc w:val="center"/>
              <w:rPr>
                <w:rFonts w:ascii="Times New Roman" w:hAnsi="Times New Roman"/>
                <w:szCs w:val="21"/>
              </w:rPr>
            </w:pPr>
            <w:r>
              <w:rPr>
                <w:rFonts w:ascii="Times New Roman" w:hAnsi="宋体"/>
                <w:szCs w:val="21"/>
              </w:rPr>
              <w:t>资源环境</w:t>
            </w:r>
          </w:p>
        </w:tc>
        <w:tc>
          <w:tcPr>
            <w:tcW w:w="4650" w:type="dxa"/>
            <w:tcBorders>
              <w:bottom w:val="single" w:color="auto" w:sz="4" w:space="0"/>
            </w:tcBorders>
            <w:shd w:val="clear" w:color="auto" w:fill="auto"/>
            <w:vAlign w:val="center"/>
          </w:tcPr>
          <w:p>
            <w:pPr>
              <w:spacing w:line="440" w:lineRule="exact"/>
              <w:rPr>
                <w:rFonts w:ascii="Times New Roman" w:hAnsi="Times New Roman"/>
                <w:szCs w:val="21"/>
              </w:rPr>
            </w:pPr>
            <w:r>
              <w:rPr>
                <w:rFonts w:ascii="Times New Roman" w:hAnsi="Times New Roman"/>
                <w:szCs w:val="21"/>
              </w:rPr>
              <w:fldChar w:fldCharType="begin"/>
            </w:r>
            <w:r>
              <w:rPr>
                <w:rFonts w:ascii="Times New Roman" w:hAnsi="Times New Roman"/>
                <w:szCs w:val="21"/>
              </w:rPr>
              <w:instrText xml:space="preserve"> = 1 \* GB3 </w:instrText>
            </w:r>
            <w:r>
              <w:rPr>
                <w:rFonts w:ascii="Times New Roman" w:hAnsi="Times New Roman"/>
                <w:szCs w:val="21"/>
              </w:rPr>
              <w:fldChar w:fldCharType="separate"/>
            </w:r>
            <w:r>
              <w:rPr>
                <w:rFonts w:ascii="宋体" w:hAnsi="宋体"/>
                <w:szCs w:val="21"/>
              </w:rPr>
              <w:t>①</w:t>
            </w:r>
            <w:r>
              <w:rPr>
                <w:rFonts w:ascii="Times New Roman" w:hAnsi="Times New Roman"/>
                <w:szCs w:val="21"/>
              </w:rPr>
              <w:fldChar w:fldCharType="end"/>
            </w:r>
            <w:r>
              <w:rPr>
                <w:rFonts w:ascii="Times New Roman" w:hAnsi="宋体"/>
                <w:szCs w:val="21"/>
              </w:rPr>
              <w:t>以提高人才培养质量为导向，不断优化校内办学资源配置，确保人尽其才、物尽其用；</w:t>
            </w:r>
          </w:p>
          <w:p>
            <w:pPr>
              <w:spacing w:line="440" w:lineRule="exact"/>
              <w:rPr>
                <w:rFonts w:ascii="Times New Roman" w:hAnsi="Times New Roman"/>
                <w:szCs w:val="21"/>
              </w:rPr>
            </w:pPr>
            <w:r>
              <w:rPr>
                <w:rFonts w:ascii="Times New Roman" w:hAnsi="Times New Roman"/>
                <w:szCs w:val="21"/>
              </w:rPr>
              <w:fldChar w:fldCharType="begin"/>
            </w:r>
            <w:r>
              <w:rPr>
                <w:rFonts w:ascii="Times New Roman" w:hAnsi="Times New Roman"/>
                <w:szCs w:val="21"/>
              </w:rPr>
              <w:instrText xml:space="preserve"> = 2 \* GB3 </w:instrText>
            </w:r>
            <w:r>
              <w:rPr>
                <w:rFonts w:ascii="Times New Roman" w:hAnsi="Times New Roman"/>
                <w:szCs w:val="21"/>
              </w:rPr>
              <w:fldChar w:fldCharType="separate"/>
            </w:r>
            <w:r>
              <w:rPr>
                <w:rFonts w:ascii="宋体" w:hAnsi="宋体"/>
                <w:szCs w:val="21"/>
              </w:rPr>
              <w:t>②</w:t>
            </w:r>
            <w:r>
              <w:rPr>
                <w:rFonts w:ascii="Times New Roman" w:hAnsi="Times New Roman"/>
                <w:szCs w:val="21"/>
              </w:rPr>
              <w:fldChar w:fldCharType="end"/>
            </w:r>
            <w:r>
              <w:rPr>
                <w:rFonts w:ascii="Times New Roman" w:hAnsi="宋体"/>
                <w:szCs w:val="21"/>
              </w:rPr>
              <w:t>学校资源环境、获取外部资源支持学校办学的能力有利于进一步促进质量保证体系和人才培养质量持续改进与完善，不断改善学校的办学条件。</w:t>
            </w:r>
          </w:p>
        </w:tc>
        <w:tc>
          <w:tcPr>
            <w:tcW w:w="5103" w:type="dxa"/>
            <w:tcBorders>
              <w:bottom w:val="single" w:color="auto" w:sz="4" w:space="0"/>
            </w:tcBorders>
            <w:vAlign w:val="center"/>
          </w:tcPr>
          <w:p>
            <w:pPr>
              <w:rPr>
                <w:rFonts w:hint="eastAsia" w:ascii="Times New Roman" w:hAnsi="Times New Roman"/>
                <w:szCs w:val="21"/>
              </w:rPr>
            </w:pPr>
            <w:r>
              <w:rPr>
                <w:rFonts w:hint="eastAsia" w:ascii="Times New Roman" w:hAnsi="Times New Roman"/>
                <w:szCs w:val="21"/>
              </w:rPr>
              <w:t>1、学院经费收入、支出情况一览表及佐证材料；</w:t>
            </w:r>
          </w:p>
          <w:p>
            <w:pPr>
              <w:rPr>
                <w:rFonts w:hint="eastAsia" w:ascii="Times New Roman" w:hAnsi="Times New Roman"/>
                <w:szCs w:val="21"/>
              </w:rPr>
            </w:pPr>
            <w:r>
              <w:rPr>
                <w:rFonts w:hint="eastAsia" w:ascii="Times New Roman" w:hAnsi="Times New Roman"/>
                <w:szCs w:val="21"/>
              </w:rPr>
              <w:t>2、企业捐赠设备、经费一览表；</w:t>
            </w:r>
          </w:p>
          <w:p>
            <w:pPr>
              <w:rPr>
                <w:rFonts w:ascii="Times New Roman" w:hAnsi="Times New Roman"/>
                <w:szCs w:val="21"/>
              </w:rPr>
            </w:pPr>
            <w:r>
              <w:rPr>
                <w:rFonts w:hint="eastAsia" w:ascii="Times New Roman" w:hAnsi="Times New Roman"/>
                <w:szCs w:val="21"/>
              </w:rPr>
              <w:t>3、学院人员调动、干部提拔资料。</w:t>
            </w:r>
          </w:p>
        </w:tc>
        <w:tc>
          <w:tcPr>
            <w:tcW w:w="1096" w:type="dxa"/>
            <w:tcBorders>
              <w:bottom w:val="single" w:color="auto" w:sz="4" w:space="0"/>
            </w:tcBorders>
            <w:vAlign w:val="center"/>
          </w:tcPr>
          <w:p>
            <w:pPr>
              <w:jc w:val="center"/>
              <w:rPr>
                <w:rFonts w:hAnsi="宋体"/>
                <w:szCs w:val="21"/>
              </w:rPr>
            </w:pPr>
            <w:r>
              <w:rPr>
                <w:rFonts w:hint="eastAsia" w:hAnsi="宋体"/>
                <w:szCs w:val="21"/>
              </w:rPr>
              <w:t>财务科</w:t>
            </w:r>
          </w:p>
        </w:tc>
        <w:tc>
          <w:tcPr>
            <w:tcW w:w="1388" w:type="dxa"/>
            <w:tcBorders>
              <w:bottom w:val="single" w:color="auto" w:sz="4" w:space="0"/>
            </w:tcBorders>
            <w:vAlign w:val="center"/>
          </w:tcPr>
          <w:p>
            <w:pPr>
              <w:jc w:val="center"/>
              <w:rPr>
                <w:rFonts w:hint="eastAsia" w:hAnsi="宋体"/>
                <w:szCs w:val="21"/>
              </w:rPr>
            </w:pPr>
            <w:r>
              <w:rPr>
                <w:rFonts w:hint="eastAsia" w:hAnsi="宋体"/>
                <w:szCs w:val="21"/>
              </w:rPr>
              <w:t>财务科</w:t>
            </w:r>
          </w:p>
          <w:p>
            <w:pPr>
              <w:jc w:val="center"/>
              <w:rPr>
                <w:rFonts w:hint="eastAsia" w:hAnsi="宋体"/>
                <w:szCs w:val="21"/>
              </w:rPr>
            </w:pPr>
            <w:r>
              <w:rPr>
                <w:rFonts w:hint="eastAsia" w:hAnsi="宋体"/>
                <w:szCs w:val="21"/>
              </w:rPr>
              <w:t>人事处</w:t>
            </w:r>
          </w:p>
          <w:p>
            <w:pPr>
              <w:jc w:val="center"/>
              <w:rPr>
                <w:rFonts w:hAnsi="宋体"/>
                <w:szCs w:val="21"/>
              </w:rPr>
            </w:pPr>
            <w:r>
              <w:rPr>
                <w:rFonts w:hint="eastAsia" w:hAnsi="宋体"/>
                <w:szCs w:val="21"/>
              </w:rPr>
              <w:t>党工部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7" w:hRule="atLeast"/>
          <w:jc w:val="center"/>
        </w:trPr>
        <w:tc>
          <w:tcPr>
            <w:tcW w:w="1004" w:type="dxa"/>
            <w:vMerge w:val="continue"/>
            <w:shd w:val="clear" w:color="auto" w:fill="auto"/>
            <w:vAlign w:val="center"/>
          </w:tcPr>
          <w:p>
            <w:pPr>
              <w:jc w:val="center"/>
              <w:rPr>
                <w:rFonts w:ascii="Times New Roman" w:hAnsi="Times New Roman"/>
                <w:szCs w:val="21"/>
              </w:rPr>
            </w:pPr>
          </w:p>
        </w:tc>
        <w:tc>
          <w:tcPr>
            <w:tcW w:w="724" w:type="dxa"/>
            <w:vMerge w:val="continue"/>
            <w:tcBorders>
              <w:bottom w:val="single" w:color="auto" w:sz="4" w:space="0"/>
            </w:tcBorders>
            <w:shd w:val="clear" w:color="auto" w:fill="auto"/>
            <w:vAlign w:val="center"/>
          </w:tcPr>
          <w:p>
            <w:pPr>
              <w:jc w:val="center"/>
              <w:rPr>
                <w:rFonts w:ascii="Times New Roman" w:hAnsi="Times New Roman"/>
                <w:szCs w:val="21"/>
              </w:rPr>
            </w:pPr>
          </w:p>
        </w:tc>
        <w:tc>
          <w:tcPr>
            <w:tcW w:w="897" w:type="dxa"/>
            <w:tcBorders>
              <w:bottom w:val="single" w:color="auto" w:sz="4" w:space="0"/>
            </w:tcBorders>
            <w:shd w:val="clear" w:color="auto" w:fill="auto"/>
            <w:vAlign w:val="center"/>
          </w:tcPr>
          <w:p>
            <w:pPr>
              <w:jc w:val="center"/>
              <w:rPr>
                <w:rFonts w:ascii="Times New Roman" w:hAnsi="Times New Roman"/>
                <w:szCs w:val="21"/>
              </w:rPr>
            </w:pPr>
            <w:r>
              <w:rPr>
                <w:rFonts w:ascii="Times New Roman" w:hAnsi="宋体"/>
                <w:szCs w:val="21"/>
              </w:rPr>
              <w:t>合作发展环境</w:t>
            </w:r>
          </w:p>
        </w:tc>
        <w:tc>
          <w:tcPr>
            <w:tcW w:w="4650" w:type="dxa"/>
            <w:tcBorders>
              <w:bottom w:val="single" w:color="auto" w:sz="4" w:space="0"/>
            </w:tcBorders>
            <w:shd w:val="clear" w:color="auto" w:fill="auto"/>
            <w:vAlign w:val="center"/>
          </w:tcPr>
          <w:p>
            <w:pPr>
              <w:spacing w:line="440" w:lineRule="exact"/>
              <w:rPr>
                <w:rFonts w:ascii="Times New Roman" w:hAnsi="Times New Roman"/>
                <w:szCs w:val="21"/>
              </w:rPr>
            </w:pPr>
            <w:r>
              <w:rPr>
                <w:rFonts w:ascii="Times New Roman" w:hAnsi="Times New Roman"/>
                <w:szCs w:val="21"/>
              </w:rPr>
              <w:fldChar w:fldCharType="begin"/>
            </w:r>
            <w:r>
              <w:rPr>
                <w:rFonts w:ascii="Times New Roman" w:hAnsi="Times New Roman"/>
                <w:szCs w:val="21"/>
              </w:rPr>
              <w:instrText xml:space="preserve"> = 1 \* GB3 </w:instrText>
            </w:r>
            <w:r>
              <w:rPr>
                <w:rFonts w:ascii="Times New Roman" w:hAnsi="Times New Roman"/>
                <w:szCs w:val="21"/>
              </w:rPr>
              <w:fldChar w:fldCharType="separate"/>
            </w:r>
            <w:r>
              <w:rPr>
                <w:rFonts w:ascii="宋体" w:hAnsi="宋体"/>
                <w:szCs w:val="21"/>
              </w:rPr>
              <w:t>①</w:t>
            </w:r>
            <w:r>
              <w:rPr>
                <w:rFonts w:ascii="Times New Roman" w:hAnsi="Times New Roman"/>
                <w:szCs w:val="21"/>
              </w:rPr>
              <w:fldChar w:fldCharType="end"/>
            </w:r>
            <w:r>
              <w:rPr>
                <w:rFonts w:ascii="Times New Roman" w:hAnsi="宋体"/>
                <w:szCs w:val="21"/>
              </w:rPr>
              <w:t>学校自主诊改机制实施情况好，提升人才培养质量效果明显，进一步提升政校行企参与人才培养全过程的积极性，政校合作、校企合作、校校合作的层次和水平得到不断优化和提升；</w:t>
            </w:r>
          </w:p>
          <w:p>
            <w:pPr>
              <w:spacing w:line="440" w:lineRule="exact"/>
              <w:rPr>
                <w:rFonts w:ascii="Times New Roman" w:hAnsi="宋体"/>
                <w:szCs w:val="21"/>
              </w:rPr>
            </w:pPr>
            <w:r>
              <w:rPr>
                <w:rFonts w:ascii="Times New Roman" w:hAnsi="Times New Roman"/>
                <w:szCs w:val="21"/>
              </w:rPr>
              <w:fldChar w:fldCharType="begin"/>
            </w:r>
            <w:r>
              <w:rPr>
                <w:rFonts w:ascii="Times New Roman" w:hAnsi="Times New Roman"/>
                <w:szCs w:val="21"/>
              </w:rPr>
              <w:instrText xml:space="preserve"> = 2 \* GB3 </w:instrText>
            </w:r>
            <w:r>
              <w:rPr>
                <w:rFonts w:ascii="Times New Roman" w:hAnsi="Times New Roman"/>
                <w:szCs w:val="21"/>
              </w:rPr>
              <w:fldChar w:fldCharType="separate"/>
            </w:r>
            <w:r>
              <w:rPr>
                <w:rFonts w:ascii="宋体" w:hAnsi="宋体"/>
                <w:szCs w:val="21"/>
              </w:rPr>
              <w:t>②</w:t>
            </w:r>
            <w:r>
              <w:rPr>
                <w:rFonts w:ascii="Times New Roman" w:hAnsi="Times New Roman"/>
                <w:szCs w:val="21"/>
              </w:rPr>
              <w:fldChar w:fldCharType="end"/>
            </w:r>
            <w:r>
              <w:rPr>
                <w:rFonts w:ascii="Times New Roman" w:hAnsi="宋体"/>
                <w:szCs w:val="21"/>
              </w:rPr>
              <w:t>政校行企合作办学、合作发展的成效与作用不断呈现。</w:t>
            </w:r>
          </w:p>
        </w:tc>
        <w:tc>
          <w:tcPr>
            <w:tcW w:w="5103" w:type="dxa"/>
            <w:tcBorders>
              <w:bottom w:val="single" w:color="auto" w:sz="4" w:space="0"/>
            </w:tcBorders>
            <w:vAlign w:val="center"/>
          </w:tcPr>
          <w:p>
            <w:pPr>
              <w:rPr>
                <w:rFonts w:hint="eastAsia" w:ascii="Times New Roman" w:hAnsi="Times New Roman"/>
                <w:szCs w:val="21"/>
              </w:rPr>
            </w:pPr>
            <w:r>
              <w:rPr>
                <w:rFonts w:hint="eastAsia" w:ascii="Times New Roman" w:hAnsi="Times New Roman"/>
                <w:szCs w:val="21"/>
              </w:rPr>
              <w:t>1、</w:t>
            </w:r>
            <w:r>
              <w:rPr>
                <w:rFonts w:ascii="Times New Roman" w:hAnsi="Times New Roman"/>
                <w:szCs w:val="21"/>
              </w:rPr>
              <w:t>学院校企合作办学理事会章程及运行资料；</w:t>
            </w:r>
          </w:p>
          <w:p>
            <w:pPr>
              <w:rPr>
                <w:rFonts w:hint="eastAsia" w:ascii="Times New Roman" w:hAnsi="Times New Roman"/>
                <w:szCs w:val="21"/>
              </w:rPr>
            </w:pPr>
            <w:r>
              <w:rPr>
                <w:rFonts w:hint="eastAsia" w:ascii="Times New Roman" w:hAnsi="Times New Roman"/>
                <w:szCs w:val="21"/>
              </w:rPr>
              <w:t>2、</w:t>
            </w:r>
            <w:r>
              <w:rPr>
                <w:rFonts w:ascii="Times New Roman" w:hAnsi="Times New Roman"/>
                <w:szCs w:val="21"/>
              </w:rPr>
              <w:t>福建省工艺美术产业教育集团（九点集团）、医疗职教集团成立及运行资料；</w:t>
            </w:r>
          </w:p>
          <w:p>
            <w:pPr>
              <w:rPr>
                <w:rFonts w:hint="eastAsia" w:ascii="Times New Roman" w:hAnsi="Times New Roman"/>
                <w:szCs w:val="21"/>
              </w:rPr>
            </w:pPr>
            <w:r>
              <w:rPr>
                <w:rFonts w:hint="eastAsia" w:ascii="Times New Roman" w:hAnsi="Times New Roman"/>
                <w:szCs w:val="21"/>
              </w:rPr>
              <w:t>3、</w:t>
            </w:r>
            <w:r>
              <w:rPr>
                <w:rFonts w:ascii="Times New Roman" w:hAnsi="Times New Roman"/>
                <w:szCs w:val="21"/>
              </w:rPr>
              <w:t>有关上塘学院、安博软件学院、华昌珠宝联合办学协议书及新能源汽车实训基地、中德诺浩</w:t>
            </w:r>
            <w:r>
              <w:rPr>
                <w:rFonts w:hint="eastAsia" w:ascii="Times New Roman" w:hAnsi="Times New Roman"/>
                <w:szCs w:val="21"/>
              </w:rPr>
              <w:t>汽车工程</w:t>
            </w:r>
            <w:r>
              <w:rPr>
                <w:rFonts w:ascii="Times New Roman" w:hAnsi="Times New Roman"/>
                <w:szCs w:val="21"/>
              </w:rPr>
              <w:t>实训基地、</w:t>
            </w:r>
            <w:r>
              <w:rPr>
                <w:rFonts w:hint="eastAsia" w:ascii="Times New Roman" w:hAnsi="Times New Roman"/>
                <w:szCs w:val="21"/>
              </w:rPr>
              <w:t>中涵机等</w:t>
            </w:r>
            <w:r>
              <w:rPr>
                <w:rFonts w:ascii="Times New Roman" w:hAnsi="Times New Roman"/>
                <w:szCs w:val="21"/>
              </w:rPr>
              <w:t>运行资料；</w:t>
            </w:r>
          </w:p>
          <w:p>
            <w:pPr>
              <w:rPr>
                <w:rFonts w:hint="eastAsia" w:ascii="Times New Roman" w:hAnsi="Times New Roman"/>
                <w:szCs w:val="21"/>
              </w:rPr>
            </w:pPr>
            <w:r>
              <w:rPr>
                <w:rFonts w:hint="eastAsia" w:ascii="Times New Roman" w:hAnsi="Times New Roman"/>
                <w:szCs w:val="21"/>
              </w:rPr>
              <w:t>4、</w:t>
            </w:r>
            <w:r>
              <w:rPr>
                <w:rFonts w:ascii="Times New Roman" w:hAnsi="Times New Roman"/>
                <w:szCs w:val="21"/>
              </w:rPr>
              <w:t>学院校企合作总结及相关资料</w:t>
            </w:r>
            <w:r>
              <w:rPr>
                <w:rFonts w:hint="eastAsia" w:ascii="Times New Roman" w:hAnsi="Times New Roman"/>
                <w:szCs w:val="21"/>
              </w:rPr>
              <w:t>；</w:t>
            </w:r>
          </w:p>
          <w:p>
            <w:pPr>
              <w:rPr>
                <w:rFonts w:ascii="Times New Roman" w:hAnsi="Times New Roman"/>
                <w:szCs w:val="21"/>
              </w:rPr>
            </w:pPr>
            <w:r>
              <w:rPr>
                <w:rFonts w:hint="eastAsia" w:ascii="Times New Roman" w:hAnsi="Times New Roman"/>
                <w:szCs w:val="21"/>
              </w:rPr>
              <w:t>5、有关校企合作社会媒体报道</w:t>
            </w:r>
            <w:r>
              <w:rPr>
                <w:rFonts w:ascii="Times New Roman" w:hAnsi="Times New Roman"/>
                <w:szCs w:val="21"/>
              </w:rPr>
              <w:t>。</w:t>
            </w:r>
          </w:p>
        </w:tc>
        <w:tc>
          <w:tcPr>
            <w:tcW w:w="1096" w:type="dxa"/>
            <w:tcBorders>
              <w:bottom w:val="single" w:color="auto" w:sz="4" w:space="0"/>
            </w:tcBorders>
            <w:vAlign w:val="center"/>
          </w:tcPr>
          <w:p>
            <w:pPr>
              <w:jc w:val="center"/>
              <w:rPr>
                <w:rFonts w:hAnsi="宋体"/>
                <w:szCs w:val="21"/>
              </w:rPr>
            </w:pPr>
            <w:r>
              <w:rPr>
                <w:rFonts w:hint="eastAsia" w:hAnsi="宋体"/>
                <w:szCs w:val="21"/>
              </w:rPr>
              <w:t>校企合作办</w:t>
            </w:r>
          </w:p>
        </w:tc>
        <w:tc>
          <w:tcPr>
            <w:tcW w:w="1388" w:type="dxa"/>
            <w:tcBorders>
              <w:bottom w:val="single" w:color="auto" w:sz="4" w:space="0"/>
            </w:tcBorders>
            <w:vAlign w:val="center"/>
          </w:tcPr>
          <w:p>
            <w:pPr>
              <w:jc w:val="center"/>
              <w:rPr>
                <w:rFonts w:hint="eastAsia" w:hAnsi="宋体"/>
                <w:szCs w:val="21"/>
              </w:rPr>
            </w:pPr>
            <w:r>
              <w:rPr>
                <w:rFonts w:hint="eastAsia" w:hAnsi="宋体"/>
                <w:szCs w:val="21"/>
              </w:rPr>
              <w:t>校企合作办</w:t>
            </w:r>
          </w:p>
          <w:p>
            <w:pPr>
              <w:jc w:val="center"/>
              <w:rPr>
                <w:rFonts w:hint="eastAsia" w:hAnsi="宋体"/>
                <w:szCs w:val="21"/>
              </w:rPr>
            </w:pPr>
            <w:r>
              <w:rPr>
                <w:rFonts w:hint="eastAsia" w:hAnsi="宋体"/>
                <w:szCs w:val="21"/>
              </w:rPr>
              <w:t>上塘学院</w:t>
            </w:r>
          </w:p>
          <w:p>
            <w:pPr>
              <w:jc w:val="center"/>
              <w:rPr>
                <w:rFonts w:hint="eastAsia" w:hAnsi="宋体"/>
                <w:szCs w:val="21"/>
              </w:rPr>
            </w:pPr>
            <w:r>
              <w:rPr>
                <w:rFonts w:hint="eastAsia" w:hAnsi="宋体"/>
                <w:szCs w:val="21"/>
              </w:rPr>
              <w:t>招就处</w:t>
            </w:r>
          </w:p>
          <w:p>
            <w:pPr>
              <w:jc w:val="center"/>
              <w:rPr>
                <w:rFonts w:hint="eastAsia" w:hAnsi="宋体"/>
                <w:szCs w:val="21"/>
              </w:rPr>
            </w:pPr>
            <w:r>
              <w:rPr>
                <w:rFonts w:hint="eastAsia" w:hAnsi="宋体"/>
                <w:szCs w:val="21"/>
              </w:rPr>
              <w:t>各院系</w:t>
            </w:r>
          </w:p>
          <w:p>
            <w:pPr>
              <w:jc w:val="center"/>
              <w:rPr>
                <w:rFonts w:hAnsi="宋体"/>
                <w:szCs w:val="21"/>
              </w:rPr>
            </w:pPr>
            <w:r>
              <w:rPr>
                <w:rFonts w:hint="eastAsia" w:hAnsi="宋体"/>
                <w:szCs w:val="21"/>
              </w:rPr>
              <w:t>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 w:hRule="atLeast"/>
          <w:jc w:val="center"/>
        </w:trPr>
        <w:tc>
          <w:tcPr>
            <w:tcW w:w="1004" w:type="dxa"/>
            <w:vMerge w:val="continue"/>
            <w:shd w:val="clear" w:color="auto" w:fill="auto"/>
            <w:vAlign w:val="center"/>
          </w:tcPr>
          <w:p>
            <w:pPr>
              <w:jc w:val="center"/>
              <w:rPr>
                <w:rFonts w:ascii="Times New Roman" w:hAnsi="Times New Roman"/>
                <w:szCs w:val="21"/>
              </w:rPr>
            </w:pPr>
          </w:p>
        </w:tc>
        <w:tc>
          <w:tcPr>
            <w:tcW w:w="724" w:type="dxa"/>
            <w:vMerge w:val="restart"/>
            <w:shd w:val="clear" w:color="auto" w:fill="auto"/>
            <w:vAlign w:val="center"/>
          </w:tcPr>
          <w:p>
            <w:pPr>
              <w:jc w:val="center"/>
              <w:rPr>
                <w:rFonts w:ascii="Times New Roman" w:hAnsi="Times New Roman"/>
                <w:szCs w:val="21"/>
              </w:rPr>
            </w:pPr>
            <w:r>
              <w:rPr>
                <w:rFonts w:ascii="Times New Roman" w:hAnsi="Times New Roman"/>
                <w:szCs w:val="21"/>
              </w:rPr>
              <w:t>5.2</w:t>
            </w:r>
            <w:r>
              <w:rPr>
                <w:rFonts w:ascii="Times New Roman" w:hAnsi="宋体"/>
                <w:szCs w:val="21"/>
              </w:rPr>
              <w:t>质量事故管控</w:t>
            </w:r>
          </w:p>
        </w:tc>
        <w:tc>
          <w:tcPr>
            <w:tcW w:w="897" w:type="dxa"/>
            <w:tcBorders>
              <w:bottom w:val="single" w:color="auto" w:sz="4" w:space="0"/>
            </w:tcBorders>
            <w:shd w:val="clear" w:color="auto" w:fill="auto"/>
            <w:vAlign w:val="center"/>
          </w:tcPr>
          <w:p>
            <w:pPr>
              <w:jc w:val="center"/>
              <w:rPr>
                <w:rFonts w:ascii="Times New Roman" w:hAnsi="Times New Roman"/>
                <w:szCs w:val="21"/>
              </w:rPr>
            </w:pPr>
            <w:r>
              <w:rPr>
                <w:rFonts w:ascii="Times New Roman" w:hAnsi="宋体"/>
                <w:szCs w:val="21"/>
              </w:rPr>
              <w:t>管控制度</w:t>
            </w:r>
          </w:p>
        </w:tc>
        <w:tc>
          <w:tcPr>
            <w:tcW w:w="4650" w:type="dxa"/>
            <w:tcBorders>
              <w:bottom w:val="single" w:color="auto" w:sz="4" w:space="0"/>
            </w:tcBorders>
            <w:shd w:val="clear" w:color="auto" w:fill="auto"/>
            <w:vAlign w:val="center"/>
          </w:tcPr>
          <w:p>
            <w:pPr>
              <w:rPr>
                <w:rFonts w:ascii="Times New Roman" w:hAnsi="Times New Roman"/>
                <w:szCs w:val="21"/>
              </w:rPr>
            </w:pPr>
            <w:r>
              <w:rPr>
                <w:rFonts w:ascii="Times New Roman" w:hAnsi="Times New Roman"/>
                <w:szCs w:val="21"/>
              </w:rPr>
              <w:fldChar w:fldCharType="begin"/>
            </w:r>
            <w:r>
              <w:rPr>
                <w:rFonts w:ascii="Times New Roman" w:hAnsi="Times New Roman"/>
                <w:szCs w:val="21"/>
              </w:rPr>
              <w:instrText xml:space="preserve"> = 1 \* GB3 </w:instrText>
            </w:r>
            <w:r>
              <w:rPr>
                <w:rFonts w:ascii="Times New Roman" w:hAnsi="Times New Roman"/>
                <w:szCs w:val="21"/>
              </w:rPr>
              <w:fldChar w:fldCharType="separate"/>
            </w:r>
            <w:r>
              <w:rPr>
                <w:rFonts w:ascii="宋体" w:hAnsi="宋体"/>
                <w:szCs w:val="21"/>
              </w:rPr>
              <w:t>①</w:t>
            </w:r>
            <w:r>
              <w:rPr>
                <w:rFonts w:ascii="Times New Roman" w:hAnsi="Times New Roman"/>
                <w:szCs w:val="21"/>
              </w:rPr>
              <w:fldChar w:fldCharType="end"/>
            </w:r>
            <w:r>
              <w:rPr>
                <w:rFonts w:ascii="Times New Roman" w:hAnsi="宋体"/>
                <w:szCs w:val="21"/>
              </w:rPr>
              <w:t>科学制定质量事故分类、分等的认定管理办法，形成质量事故管控畅通的反馈机制，对质量事故及时有效处理；</w:t>
            </w:r>
          </w:p>
          <w:p>
            <w:pPr>
              <w:rPr>
                <w:rFonts w:ascii="Times New Roman" w:hAnsi="Times New Roman"/>
                <w:szCs w:val="21"/>
              </w:rPr>
            </w:pPr>
            <w:r>
              <w:rPr>
                <w:rFonts w:ascii="Times New Roman" w:hAnsi="Times New Roman"/>
                <w:szCs w:val="21"/>
              </w:rPr>
              <w:fldChar w:fldCharType="begin"/>
            </w:r>
            <w:r>
              <w:rPr>
                <w:rFonts w:ascii="Times New Roman" w:hAnsi="Times New Roman"/>
                <w:szCs w:val="21"/>
              </w:rPr>
              <w:instrText xml:space="preserve"> = 2 \* GB3 </w:instrText>
            </w:r>
            <w:r>
              <w:rPr>
                <w:rFonts w:ascii="Times New Roman" w:hAnsi="Times New Roman"/>
                <w:szCs w:val="21"/>
              </w:rPr>
              <w:fldChar w:fldCharType="separate"/>
            </w:r>
            <w:r>
              <w:rPr>
                <w:rFonts w:ascii="宋体" w:hAnsi="宋体"/>
                <w:szCs w:val="21"/>
              </w:rPr>
              <w:t>②</w:t>
            </w:r>
            <w:r>
              <w:rPr>
                <w:rFonts w:ascii="Times New Roman" w:hAnsi="Times New Roman"/>
                <w:szCs w:val="21"/>
              </w:rPr>
              <w:fldChar w:fldCharType="end"/>
            </w:r>
            <w:r>
              <w:rPr>
                <w:rFonts w:ascii="Times New Roman" w:hAnsi="宋体"/>
                <w:szCs w:val="21"/>
              </w:rPr>
              <w:t>建立学校、院系两级质量事故投诉受理机构，形成完善的质量事故投诉、受理、反馈制度；</w:t>
            </w:r>
          </w:p>
          <w:p>
            <w:pPr>
              <w:rPr>
                <w:rFonts w:ascii="Times New Roman" w:hAnsi="Times New Roman"/>
                <w:szCs w:val="21"/>
              </w:rPr>
            </w:pPr>
            <w:r>
              <w:rPr>
                <w:rFonts w:ascii="Times New Roman" w:hAnsi="Times New Roman"/>
                <w:szCs w:val="21"/>
              </w:rPr>
              <w:fldChar w:fldCharType="begin"/>
            </w:r>
            <w:r>
              <w:rPr>
                <w:rFonts w:ascii="Times New Roman" w:hAnsi="Times New Roman"/>
                <w:szCs w:val="21"/>
              </w:rPr>
              <w:instrText xml:space="preserve"> = 3 \* GB3 </w:instrText>
            </w:r>
            <w:r>
              <w:rPr>
                <w:rFonts w:ascii="Times New Roman" w:hAnsi="Times New Roman"/>
                <w:szCs w:val="21"/>
              </w:rPr>
              <w:fldChar w:fldCharType="separate"/>
            </w:r>
            <w:r>
              <w:rPr>
                <w:rFonts w:ascii="宋体" w:hAnsi="宋体"/>
                <w:szCs w:val="21"/>
              </w:rPr>
              <w:t>③</w:t>
            </w:r>
            <w:r>
              <w:rPr>
                <w:rFonts w:ascii="Times New Roman" w:hAnsi="Times New Roman"/>
                <w:szCs w:val="21"/>
              </w:rPr>
              <w:fldChar w:fldCharType="end"/>
            </w:r>
            <w:r>
              <w:rPr>
                <w:rFonts w:ascii="Times New Roman" w:hAnsi="宋体"/>
                <w:szCs w:val="21"/>
              </w:rPr>
              <w:t>定期开展质量事故自查自纠，形成质量事故管控常态化管理反馈机制。</w:t>
            </w:r>
          </w:p>
        </w:tc>
        <w:tc>
          <w:tcPr>
            <w:tcW w:w="5103" w:type="dxa"/>
            <w:tcBorders>
              <w:bottom w:val="single" w:color="auto" w:sz="4" w:space="0"/>
            </w:tcBorders>
            <w:vAlign w:val="center"/>
          </w:tcPr>
          <w:p>
            <w:pPr>
              <w:rPr>
                <w:rFonts w:hint="eastAsia" w:ascii="Times New Roman" w:hAnsi="Times New Roman"/>
                <w:szCs w:val="21"/>
              </w:rPr>
            </w:pPr>
            <w:r>
              <w:rPr>
                <w:rFonts w:hint="eastAsia" w:ascii="Times New Roman" w:hAnsi="Times New Roman"/>
                <w:szCs w:val="21"/>
              </w:rPr>
              <w:t>1、学院各部门质量标准、质量事故标准及</w:t>
            </w:r>
            <w:r>
              <w:rPr>
                <w:rFonts w:ascii="Times New Roman" w:hAnsi="宋体"/>
                <w:szCs w:val="21"/>
              </w:rPr>
              <w:t>质量事故分类、分等的认定管理办法</w:t>
            </w:r>
            <w:r>
              <w:rPr>
                <w:rFonts w:hint="eastAsia" w:ascii="Times New Roman" w:hAnsi="Times New Roman"/>
                <w:szCs w:val="21"/>
              </w:rPr>
              <w:t>；</w:t>
            </w:r>
          </w:p>
          <w:p>
            <w:pPr>
              <w:rPr>
                <w:rFonts w:hint="eastAsia" w:ascii="Times New Roman" w:hAnsi="Times New Roman"/>
                <w:szCs w:val="21"/>
              </w:rPr>
            </w:pPr>
            <w:r>
              <w:rPr>
                <w:rFonts w:hint="eastAsia" w:ascii="Times New Roman" w:hAnsi="Times New Roman"/>
                <w:szCs w:val="21"/>
              </w:rPr>
              <w:t>2、</w:t>
            </w:r>
            <w:r>
              <w:rPr>
                <w:rFonts w:ascii="Times New Roman" w:hAnsi="Times New Roman"/>
                <w:szCs w:val="21"/>
              </w:rPr>
              <w:t>学校制订的各主要教学环节的质量标准文件及执行情况资料；</w:t>
            </w:r>
          </w:p>
          <w:p>
            <w:pPr>
              <w:rPr>
                <w:rFonts w:hint="eastAsia" w:ascii="Times New Roman" w:hAnsi="Times New Roman"/>
                <w:szCs w:val="21"/>
              </w:rPr>
            </w:pPr>
            <w:r>
              <w:rPr>
                <w:rFonts w:hint="eastAsia" w:ascii="Times New Roman" w:hAnsi="Times New Roman"/>
                <w:szCs w:val="21"/>
              </w:rPr>
              <w:t>3、</w:t>
            </w:r>
            <w:r>
              <w:rPr>
                <w:rFonts w:ascii="Times New Roman" w:hAnsi="Times New Roman"/>
                <w:szCs w:val="21"/>
              </w:rPr>
              <w:t>学校制订的教学质量保障和监控体系方面的文件及实施情况的资料；</w:t>
            </w:r>
          </w:p>
          <w:p>
            <w:pPr>
              <w:rPr>
                <w:rFonts w:hint="eastAsia" w:ascii="Times New Roman" w:hAnsi="Times New Roman"/>
                <w:szCs w:val="21"/>
              </w:rPr>
            </w:pPr>
            <w:r>
              <w:rPr>
                <w:rFonts w:hint="eastAsia" w:ascii="Times New Roman" w:hAnsi="Times New Roman"/>
                <w:szCs w:val="21"/>
              </w:rPr>
              <w:t>4、学院</w:t>
            </w:r>
            <w:r>
              <w:rPr>
                <w:rFonts w:ascii="Times New Roman" w:hAnsi="宋体"/>
                <w:szCs w:val="21"/>
              </w:rPr>
              <w:t>、院系两级质量事故投诉受理机构</w:t>
            </w:r>
            <w:r>
              <w:rPr>
                <w:rFonts w:hint="eastAsia" w:ascii="Times New Roman" w:hAnsi="宋体"/>
                <w:szCs w:val="21"/>
              </w:rPr>
              <w:t>名单；</w:t>
            </w:r>
          </w:p>
          <w:p>
            <w:pPr>
              <w:rPr>
                <w:rFonts w:hint="eastAsia" w:ascii="Times New Roman" w:hAnsi="Times New Roman"/>
                <w:szCs w:val="21"/>
              </w:rPr>
            </w:pPr>
            <w:r>
              <w:rPr>
                <w:rFonts w:hint="eastAsia" w:ascii="Times New Roman" w:hAnsi="Times New Roman"/>
                <w:szCs w:val="21"/>
              </w:rPr>
              <w:t>5、学院制定</w:t>
            </w:r>
            <w:r>
              <w:rPr>
                <w:rFonts w:ascii="Times New Roman" w:hAnsi="宋体"/>
                <w:szCs w:val="21"/>
              </w:rPr>
              <w:t>质量事故投诉、受理、反馈制度</w:t>
            </w:r>
            <w:r>
              <w:rPr>
                <w:rFonts w:hint="eastAsia" w:ascii="Times New Roman" w:hAnsi="宋体"/>
                <w:szCs w:val="21"/>
              </w:rPr>
              <w:t>；</w:t>
            </w:r>
          </w:p>
          <w:p>
            <w:pPr>
              <w:rPr>
                <w:rFonts w:hint="eastAsia" w:ascii="Times New Roman" w:hAnsi="Times New Roman"/>
                <w:szCs w:val="21"/>
              </w:rPr>
            </w:pPr>
            <w:r>
              <w:rPr>
                <w:rFonts w:hint="eastAsia" w:ascii="Times New Roman" w:hAnsi="Times New Roman"/>
                <w:szCs w:val="21"/>
              </w:rPr>
              <w:t>6、</w:t>
            </w:r>
            <w:r>
              <w:rPr>
                <w:rFonts w:ascii="Times New Roman" w:hAnsi="Times New Roman"/>
                <w:szCs w:val="21"/>
              </w:rPr>
              <w:t>专职督导人员听课资料及反馈总结资料；</w:t>
            </w:r>
          </w:p>
          <w:p>
            <w:pPr>
              <w:rPr>
                <w:rFonts w:hint="eastAsia" w:ascii="Times New Roman" w:hAnsi="Times New Roman"/>
                <w:szCs w:val="21"/>
              </w:rPr>
            </w:pPr>
            <w:r>
              <w:rPr>
                <w:rFonts w:hint="eastAsia" w:ascii="Times New Roman" w:hAnsi="Times New Roman"/>
                <w:szCs w:val="21"/>
              </w:rPr>
              <w:t>7、</w:t>
            </w:r>
            <w:r>
              <w:rPr>
                <w:rFonts w:ascii="Times New Roman" w:hAnsi="Times New Roman"/>
                <w:szCs w:val="21"/>
              </w:rPr>
              <w:t>各院系（部）教学检查、评价的相关资料；</w:t>
            </w:r>
          </w:p>
          <w:p>
            <w:pPr>
              <w:rPr>
                <w:rFonts w:hint="eastAsia" w:ascii="Times New Roman" w:hAnsi="Times New Roman"/>
                <w:szCs w:val="21"/>
              </w:rPr>
            </w:pPr>
            <w:r>
              <w:rPr>
                <w:rFonts w:hint="eastAsia" w:ascii="Times New Roman" w:hAnsi="Times New Roman"/>
                <w:szCs w:val="21"/>
              </w:rPr>
              <w:t>8、</w:t>
            </w:r>
            <w:r>
              <w:rPr>
                <w:rFonts w:ascii="Times New Roman" w:hAnsi="Times New Roman"/>
                <w:szCs w:val="21"/>
              </w:rPr>
              <w:t>各院系（部）学生评教、学生座谈会记录、问卷调查等资料；</w:t>
            </w:r>
          </w:p>
          <w:p>
            <w:pPr>
              <w:rPr>
                <w:rFonts w:ascii="Times New Roman" w:hAnsi="Times New Roman"/>
                <w:szCs w:val="21"/>
              </w:rPr>
            </w:pPr>
            <w:r>
              <w:rPr>
                <w:rFonts w:hint="eastAsia" w:ascii="Times New Roman" w:hAnsi="Times New Roman"/>
                <w:szCs w:val="21"/>
              </w:rPr>
              <w:t>9、学院平时</w:t>
            </w:r>
            <w:r>
              <w:rPr>
                <w:rFonts w:ascii="Times New Roman" w:hAnsi="宋体"/>
                <w:szCs w:val="21"/>
              </w:rPr>
              <w:t>定期开展质量事故自查自纠</w:t>
            </w:r>
            <w:r>
              <w:rPr>
                <w:rFonts w:hint="eastAsia" w:ascii="Times New Roman" w:hAnsi="宋体"/>
                <w:szCs w:val="21"/>
              </w:rPr>
              <w:t>的相关</w:t>
            </w:r>
            <w:r>
              <w:rPr>
                <w:rFonts w:ascii="Times New Roman" w:hAnsi="Times New Roman"/>
                <w:szCs w:val="21"/>
              </w:rPr>
              <w:t>资料</w:t>
            </w:r>
            <w:r>
              <w:rPr>
                <w:rFonts w:hint="eastAsia" w:ascii="Times New Roman" w:hAnsi="Times New Roman"/>
                <w:szCs w:val="21"/>
              </w:rPr>
              <w:t>。</w:t>
            </w:r>
          </w:p>
        </w:tc>
        <w:tc>
          <w:tcPr>
            <w:tcW w:w="1096" w:type="dxa"/>
            <w:tcBorders>
              <w:bottom w:val="single" w:color="auto" w:sz="4" w:space="0"/>
            </w:tcBorders>
            <w:vAlign w:val="center"/>
          </w:tcPr>
          <w:p>
            <w:pPr>
              <w:jc w:val="center"/>
              <w:rPr>
                <w:rFonts w:ascii="Times New Roman" w:hAnsi="Times New Roman"/>
                <w:szCs w:val="21"/>
              </w:rPr>
            </w:pPr>
            <w:r>
              <w:rPr>
                <w:rFonts w:hAnsi="宋体"/>
                <w:szCs w:val="21"/>
              </w:rPr>
              <w:t>质控中心</w:t>
            </w:r>
          </w:p>
        </w:tc>
        <w:tc>
          <w:tcPr>
            <w:tcW w:w="1388" w:type="dxa"/>
            <w:tcBorders>
              <w:bottom w:val="single" w:color="auto" w:sz="4" w:space="0"/>
            </w:tcBorders>
            <w:vAlign w:val="center"/>
          </w:tcPr>
          <w:p>
            <w:pPr>
              <w:jc w:val="center"/>
              <w:rPr>
                <w:rFonts w:hint="eastAsia" w:hAnsi="宋体"/>
                <w:szCs w:val="21"/>
              </w:rPr>
            </w:pPr>
            <w:r>
              <w:rPr>
                <w:rFonts w:hint="eastAsia" w:hAnsi="宋体"/>
                <w:szCs w:val="21"/>
              </w:rPr>
              <w:t>办公室</w:t>
            </w:r>
          </w:p>
          <w:p>
            <w:pPr>
              <w:jc w:val="center"/>
              <w:rPr>
                <w:rFonts w:hint="eastAsia" w:hAnsi="宋体"/>
                <w:szCs w:val="21"/>
              </w:rPr>
            </w:pPr>
            <w:r>
              <w:rPr>
                <w:rFonts w:hint="eastAsia" w:hAnsi="宋体"/>
                <w:szCs w:val="21"/>
              </w:rPr>
              <w:t>教务处</w:t>
            </w:r>
          </w:p>
          <w:p>
            <w:pPr>
              <w:jc w:val="center"/>
              <w:rPr>
                <w:rFonts w:hint="eastAsia" w:hAnsi="宋体"/>
                <w:szCs w:val="21"/>
              </w:rPr>
            </w:pPr>
            <w:r>
              <w:rPr>
                <w:rFonts w:hint="eastAsia" w:hAnsi="宋体"/>
                <w:szCs w:val="21"/>
              </w:rPr>
              <w:t>各院系</w:t>
            </w:r>
          </w:p>
          <w:p>
            <w:pPr>
              <w:jc w:val="center"/>
              <w:rPr>
                <w:rFonts w:hAnsi="宋体"/>
                <w:szCs w:val="21"/>
              </w:rPr>
            </w:pPr>
            <w:r>
              <w:rPr>
                <w:rFonts w:hint="eastAsia" w:hAnsi="宋体"/>
                <w:szCs w:val="21"/>
              </w:rPr>
              <w:t>各部门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7" w:hRule="atLeast"/>
          <w:jc w:val="center"/>
        </w:trPr>
        <w:tc>
          <w:tcPr>
            <w:tcW w:w="1004" w:type="dxa"/>
            <w:vMerge w:val="continue"/>
            <w:shd w:val="clear" w:color="auto" w:fill="auto"/>
            <w:vAlign w:val="center"/>
          </w:tcPr>
          <w:p>
            <w:pPr>
              <w:jc w:val="center"/>
              <w:rPr>
                <w:rFonts w:ascii="Times New Roman" w:hAnsi="Times New Roman"/>
                <w:szCs w:val="21"/>
              </w:rPr>
            </w:pPr>
          </w:p>
        </w:tc>
        <w:tc>
          <w:tcPr>
            <w:tcW w:w="724" w:type="dxa"/>
            <w:vMerge w:val="continue"/>
            <w:shd w:val="clear" w:color="auto" w:fill="auto"/>
            <w:vAlign w:val="center"/>
          </w:tcPr>
          <w:p>
            <w:pPr>
              <w:jc w:val="center"/>
              <w:rPr>
                <w:rFonts w:ascii="Times New Roman" w:hAnsi="Times New Roman"/>
                <w:szCs w:val="21"/>
              </w:rPr>
            </w:pPr>
          </w:p>
        </w:tc>
        <w:tc>
          <w:tcPr>
            <w:tcW w:w="897" w:type="dxa"/>
            <w:tcBorders>
              <w:bottom w:val="single" w:color="auto" w:sz="4" w:space="0"/>
            </w:tcBorders>
            <w:shd w:val="clear" w:color="auto" w:fill="auto"/>
            <w:vAlign w:val="center"/>
          </w:tcPr>
          <w:p>
            <w:pPr>
              <w:jc w:val="center"/>
              <w:rPr>
                <w:rFonts w:ascii="Times New Roman" w:hAnsi="Times New Roman"/>
                <w:szCs w:val="21"/>
              </w:rPr>
            </w:pPr>
            <w:r>
              <w:rPr>
                <w:rFonts w:ascii="Times New Roman" w:hAnsi="宋体"/>
                <w:szCs w:val="21"/>
              </w:rPr>
              <w:t>发生率及影响</w:t>
            </w:r>
          </w:p>
        </w:tc>
        <w:tc>
          <w:tcPr>
            <w:tcW w:w="4650" w:type="dxa"/>
            <w:tcBorders>
              <w:bottom w:val="single" w:color="auto" w:sz="4" w:space="0"/>
            </w:tcBorders>
            <w:shd w:val="clear" w:color="auto" w:fill="auto"/>
            <w:vAlign w:val="center"/>
          </w:tcPr>
          <w:p>
            <w:pPr>
              <w:rPr>
                <w:rFonts w:ascii="Times New Roman" w:hAnsi="Times New Roman"/>
                <w:szCs w:val="21"/>
              </w:rPr>
            </w:pPr>
            <w:r>
              <w:rPr>
                <w:rFonts w:ascii="Times New Roman" w:hAnsi="Times New Roman"/>
                <w:szCs w:val="21"/>
              </w:rPr>
              <w:fldChar w:fldCharType="begin"/>
            </w:r>
            <w:r>
              <w:rPr>
                <w:rFonts w:ascii="Times New Roman" w:hAnsi="Times New Roman"/>
                <w:szCs w:val="21"/>
              </w:rPr>
              <w:instrText xml:space="preserve"> = 1 \* GB3 </w:instrText>
            </w:r>
            <w:r>
              <w:rPr>
                <w:rFonts w:ascii="Times New Roman" w:hAnsi="Times New Roman"/>
                <w:szCs w:val="21"/>
              </w:rPr>
              <w:fldChar w:fldCharType="separate"/>
            </w:r>
            <w:r>
              <w:rPr>
                <w:rFonts w:ascii="宋体" w:hAnsi="宋体"/>
                <w:szCs w:val="21"/>
              </w:rPr>
              <w:t>①</w:t>
            </w:r>
            <w:r>
              <w:rPr>
                <w:rFonts w:ascii="Times New Roman" w:hAnsi="Times New Roman"/>
                <w:szCs w:val="21"/>
              </w:rPr>
              <w:fldChar w:fldCharType="end"/>
            </w:r>
            <w:r>
              <w:rPr>
                <w:rFonts w:ascii="Times New Roman" w:hAnsi="宋体"/>
                <w:szCs w:val="21"/>
              </w:rPr>
              <w:t>学校质量事故的发生率低，无影响重大的质量事故；</w:t>
            </w:r>
          </w:p>
          <w:p>
            <w:pPr>
              <w:rPr>
                <w:rFonts w:ascii="Times New Roman" w:hAnsi="Times New Roman"/>
                <w:szCs w:val="21"/>
              </w:rPr>
            </w:pPr>
            <w:r>
              <w:rPr>
                <w:rFonts w:ascii="Times New Roman" w:hAnsi="Times New Roman"/>
                <w:szCs w:val="21"/>
              </w:rPr>
              <w:fldChar w:fldCharType="begin"/>
            </w:r>
            <w:r>
              <w:rPr>
                <w:rFonts w:ascii="Times New Roman" w:hAnsi="Times New Roman"/>
                <w:szCs w:val="21"/>
              </w:rPr>
              <w:instrText xml:space="preserve"> = 2 \* GB3 </w:instrText>
            </w:r>
            <w:r>
              <w:rPr>
                <w:rFonts w:ascii="Times New Roman" w:hAnsi="Times New Roman"/>
                <w:szCs w:val="21"/>
              </w:rPr>
              <w:fldChar w:fldCharType="separate"/>
            </w:r>
            <w:r>
              <w:rPr>
                <w:rFonts w:ascii="宋体" w:hAnsi="宋体"/>
                <w:szCs w:val="21"/>
              </w:rPr>
              <w:t>②</w:t>
            </w:r>
            <w:r>
              <w:rPr>
                <w:rFonts w:ascii="Times New Roman" w:hAnsi="Times New Roman"/>
                <w:szCs w:val="21"/>
              </w:rPr>
              <w:fldChar w:fldCharType="end"/>
            </w:r>
            <w:r>
              <w:rPr>
                <w:rFonts w:ascii="Times New Roman" w:hAnsi="宋体"/>
                <w:szCs w:val="21"/>
              </w:rPr>
              <w:t>处理安全事故、群体性事件的反应速度快、应急处理能力强；</w:t>
            </w:r>
          </w:p>
          <w:p>
            <w:pPr>
              <w:rPr>
                <w:rFonts w:ascii="Times New Roman" w:hAnsi="Times New Roman"/>
                <w:szCs w:val="21"/>
              </w:rPr>
            </w:pPr>
            <w:r>
              <w:rPr>
                <w:rFonts w:ascii="Times New Roman" w:hAnsi="Times New Roman"/>
                <w:szCs w:val="21"/>
              </w:rPr>
              <w:fldChar w:fldCharType="begin"/>
            </w:r>
            <w:r>
              <w:rPr>
                <w:rFonts w:ascii="Times New Roman" w:hAnsi="Times New Roman"/>
                <w:szCs w:val="21"/>
              </w:rPr>
              <w:instrText xml:space="preserve"> = 3 \* GB3 </w:instrText>
            </w:r>
            <w:r>
              <w:rPr>
                <w:rFonts w:ascii="Times New Roman" w:hAnsi="Times New Roman"/>
                <w:szCs w:val="21"/>
              </w:rPr>
              <w:fldChar w:fldCharType="separate"/>
            </w:r>
            <w:r>
              <w:rPr>
                <w:rFonts w:ascii="宋体" w:hAnsi="宋体"/>
                <w:szCs w:val="21"/>
              </w:rPr>
              <w:t>③</w:t>
            </w:r>
            <w:r>
              <w:rPr>
                <w:rFonts w:ascii="Times New Roman" w:hAnsi="Times New Roman"/>
                <w:szCs w:val="21"/>
              </w:rPr>
              <w:fldChar w:fldCharType="end"/>
            </w:r>
            <w:r>
              <w:rPr>
                <w:rFonts w:ascii="Times New Roman" w:hAnsi="宋体"/>
                <w:szCs w:val="21"/>
              </w:rPr>
              <w:t>学校质量事故与投诉发生率逐年减少。</w:t>
            </w:r>
          </w:p>
        </w:tc>
        <w:tc>
          <w:tcPr>
            <w:tcW w:w="5103" w:type="dxa"/>
            <w:tcBorders>
              <w:bottom w:val="single" w:color="auto" w:sz="4" w:space="0"/>
            </w:tcBorders>
            <w:vAlign w:val="center"/>
          </w:tcPr>
          <w:p>
            <w:pPr>
              <w:rPr>
                <w:rFonts w:hint="eastAsia" w:ascii="Times New Roman" w:hAnsi="Times New Roman"/>
                <w:szCs w:val="21"/>
              </w:rPr>
            </w:pPr>
            <w:r>
              <w:rPr>
                <w:rFonts w:hint="eastAsia" w:ascii="Times New Roman" w:hAnsi="Times New Roman"/>
                <w:szCs w:val="21"/>
              </w:rPr>
              <w:t>1、近二年学院年度工作总结；</w:t>
            </w:r>
          </w:p>
          <w:p>
            <w:pPr>
              <w:rPr>
                <w:rFonts w:ascii="Times New Roman" w:hAnsi="Times New Roman"/>
                <w:szCs w:val="21"/>
              </w:rPr>
            </w:pPr>
            <w:r>
              <w:rPr>
                <w:rFonts w:hint="eastAsia" w:ascii="Times New Roman" w:hAnsi="Times New Roman"/>
                <w:szCs w:val="21"/>
              </w:rPr>
              <w:t>2、近三年学院</w:t>
            </w:r>
            <w:r>
              <w:rPr>
                <w:rFonts w:ascii="Times New Roman" w:hAnsi="宋体"/>
                <w:szCs w:val="21"/>
              </w:rPr>
              <w:t>质量事故与投诉</w:t>
            </w:r>
            <w:r>
              <w:rPr>
                <w:rFonts w:hint="eastAsia" w:ascii="Times New Roman" w:hAnsi="宋体"/>
                <w:szCs w:val="21"/>
              </w:rPr>
              <w:t>情况统计表</w:t>
            </w:r>
            <w:r>
              <w:rPr>
                <w:rFonts w:hint="eastAsia" w:ascii="Times New Roman" w:hAnsi="Times New Roman"/>
                <w:szCs w:val="21"/>
              </w:rPr>
              <w:t>。</w:t>
            </w:r>
          </w:p>
        </w:tc>
        <w:tc>
          <w:tcPr>
            <w:tcW w:w="1096" w:type="dxa"/>
            <w:tcBorders>
              <w:bottom w:val="single" w:color="auto" w:sz="4" w:space="0"/>
            </w:tcBorders>
            <w:vAlign w:val="center"/>
          </w:tcPr>
          <w:p>
            <w:pPr>
              <w:jc w:val="center"/>
              <w:rPr>
                <w:rFonts w:ascii="Times New Roman" w:hAnsi="Times New Roman"/>
                <w:szCs w:val="21"/>
              </w:rPr>
            </w:pPr>
            <w:r>
              <w:rPr>
                <w:rFonts w:hint="eastAsia" w:ascii="Times New Roman" w:hAnsi="宋体"/>
                <w:szCs w:val="21"/>
              </w:rPr>
              <w:t>监察审计室</w:t>
            </w:r>
          </w:p>
        </w:tc>
        <w:tc>
          <w:tcPr>
            <w:tcW w:w="1388" w:type="dxa"/>
            <w:tcBorders>
              <w:bottom w:val="single" w:color="auto" w:sz="4" w:space="0"/>
            </w:tcBorders>
            <w:vAlign w:val="center"/>
          </w:tcPr>
          <w:p>
            <w:pPr>
              <w:jc w:val="center"/>
              <w:rPr>
                <w:rFonts w:hint="eastAsia" w:hAnsi="宋体"/>
                <w:szCs w:val="21"/>
              </w:rPr>
            </w:pPr>
            <w:r>
              <w:rPr>
                <w:rFonts w:hint="eastAsia" w:hAnsi="宋体"/>
                <w:szCs w:val="21"/>
              </w:rPr>
              <w:t>办公室</w:t>
            </w:r>
          </w:p>
          <w:p>
            <w:pPr>
              <w:jc w:val="center"/>
              <w:rPr>
                <w:rFonts w:hint="eastAsia" w:hAnsi="宋体"/>
                <w:szCs w:val="21"/>
              </w:rPr>
            </w:pPr>
            <w:r>
              <w:rPr>
                <w:rFonts w:hint="eastAsia" w:ascii="Times New Roman" w:hAnsi="宋体"/>
                <w:szCs w:val="21"/>
              </w:rPr>
              <w:t>保卫科</w:t>
            </w:r>
          </w:p>
          <w:p>
            <w:pPr>
              <w:jc w:val="center"/>
              <w:rPr>
                <w:rFonts w:hint="eastAsia" w:hAnsi="宋体"/>
                <w:szCs w:val="21"/>
              </w:rPr>
            </w:pPr>
            <w:r>
              <w:rPr>
                <w:rFonts w:hint="eastAsia" w:ascii="Times New Roman" w:hAnsi="宋体"/>
                <w:szCs w:val="21"/>
              </w:rPr>
              <w:t>监察审计室</w:t>
            </w:r>
          </w:p>
          <w:p>
            <w:pPr>
              <w:jc w:val="center"/>
              <w:rPr>
                <w:rFonts w:hint="eastAsia" w:hAnsi="宋体"/>
                <w:szCs w:val="21"/>
              </w:rPr>
            </w:pPr>
            <w:r>
              <w:rPr>
                <w:rFonts w:hint="eastAsia" w:hAnsi="宋体"/>
                <w:szCs w:val="21"/>
              </w:rPr>
              <w:t>各部门</w:t>
            </w:r>
          </w:p>
          <w:p>
            <w:pPr>
              <w:jc w:val="center"/>
              <w:rPr>
                <w:rFonts w:hAnsi="宋体"/>
                <w:szCs w:val="21"/>
              </w:rPr>
            </w:pPr>
            <w:r>
              <w:rPr>
                <w:rFonts w:hint="eastAsia" w:hAnsi="宋体"/>
                <w:szCs w:val="21"/>
              </w:rPr>
              <w:t>各院系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04" w:type="dxa"/>
            <w:vMerge w:val="continue"/>
            <w:shd w:val="clear" w:color="auto" w:fill="auto"/>
            <w:vAlign w:val="center"/>
          </w:tcPr>
          <w:p>
            <w:pPr>
              <w:jc w:val="center"/>
              <w:rPr>
                <w:rFonts w:ascii="Times New Roman" w:hAnsi="Times New Roman"/>
                <w:szCs w:val="21"/>
              </w:rPr>
            </w:pPr>
          </w:p>
        </w:tc>
        <w:tc>
          <w:tcPr>
            <w:tcW w:w="724" w:type="dxa"/>
            <w:vMerge w:val="continue"/>
            <w:tcBorders>
              <w:bottom w:val="single" w:color="auto" w:sz="4" w:space="0"/>
            </w:tcBorders>
            <w:shd w:val="clear" w:color="auto" w:fill="auto"/>
            <w:vAlign w:val="center"/>
          </w:tcPr>
          <w:p>
            <w:pPr>
              <w:jc w:val="center"/>
              <w:rPr>
                <w:rFonts w:ascii="Times New Roman" w:hAnsi="Times New Roman"/>
                <w:szCs w:val="21"/>
              </w:rPr>
            </w:pPr>
          </w:p>
        </w:tc>
        <w:tc>
          <w:tcPr>
            <w:tcW w:w="897" w:type="dxa"/>
            <w:tcBorders>
              <w:bottom w:val="single" w:color="auto" w:sz="4" w:space="0"/>
            </w:tcBorders>
            <w:shd w:val="clear" w:color="auto" w:fill="auto"/>
            <w:vAlign w:val="center"/>
          </w:tcPr>
          <w:p>
            <w:pPr>
              <w:jc w:val="center"/>
              <w:rPr>
                <w:rFonts w:ascii="Times New Roman" w:hAnsi="Times New Roman"/>
                <w:szCs w:val="21"/>
              </w:rPr>
            </w:pPr>
            <w:r>
              <w:rPr>
                <w:rFonts w:ascii="Times New Roman" w:hAnsi="宋体"/>
                <w:szCs w:val="21"/>
              </w:rPr>
              <w:t>预警机制</w:t>
            </w:r>
          </w:p>
        </w:tc>
        <w:tc>
          <w:tcPr>
            <w:tcW w:w="4650" w:type="dxa"/>
            <w:tcBorders>
              <w:bottom w:val="single" w:color="auto" w:sz="4" w:space="0"/>
            </w:tcBorders>
            <w:shd w:val="clear" w:color="auto" w:fill="auto"/>
            <w:vAlign w:val="center"/>
          </w:tcPr>
          <w:p>
            <w:pPr>
              <w:rPr>
                <w:rFonts w:ascii="Times New Roman" w:hAnsi="Times New Roman"/>
                <w:szCs w:val="21"/>
              </w:rPr>
            </w:pPr>
            <w:r>
              <w:rPr>
                <w:rFonts w:ascii="Times New Roman" w:hAnsi="Times New Roman"/>
                <w:szCs w:val="21"/>
              </w:rPr>
              <w:fldChar w:fldCharType="begin"/>
            </w:r>
            <w:r>
              <w:rPr>
                <w:rFonts w:ascii="Times New Roman" w:hAnsi="Times New Roman"/>
                <w:szCs w:val="21"/>
              </w:rPr>
              <w:instrText xml:space="preserve"> = 1 \* GB3 </w:instrText>
            </w:r>
            <w:r>
              <w:rPr>
                <w:rFonts w:ascii="Times New Roman" w:hAnsi="Times New Roman"/>
                <w:szCs w:val="21"/>
              </w:rPr>
              <w:fldChar w:fldCharType="separate"/>
            </w:r>
            <w:r>
              <w:rPr>
                <w:rFonts w:ascii="宋体" w:hAnsi="宋体"/>
                <w:szCs w:val="21"/>
              </w:rPr>
              <w:t>①</w:t>
            </w:r>
            <w:r>
              <w:rPr>
                <w:rFonts w:ascii="Times New Roman" w:hAnsi="Times New Roman"/>
                <w:szCs w:val="21"/>
              </w:rPr>
              <w:fldChar w:fldCharType="end"/>
            </w:r>
            <w:r>
              <w:rPr>
                <w:rFonts w:ascii="Times New Roman" w:hAnsi="宋体"/>
                <w:szCs w:val="21"/>
              </w:rPr>
              <w:t>建立过程信息监测分析机制与质量事故预警制度；</w:t>
            </w:r>
          </w:p>
          <w:p>
            <w:pPr>
              <w:rPr>
                <w:rFonts w:ascii="Times New Roman" w:hAnsi="Times New Roman"/>
                <w:szCs w:val="21"/>
              </w:rPr>
            </w:pPr>
            <w:r>
              <w:rPr>
                <w:rFonts w:ascii="Times New Roman" w:hAnsi="Times New Roman"/>
                <w:szCs w:val="21"/>
              </w:rPr>
              <w:fldChar w:fldCharType="begin"/>
            </w:r>
            <w:r>
              <w:rPr>
                <w:rFonts w:ascii="Times New Roman" w:hAnsi="Times New Roman"/>
                <w:szCs w:val="21"/>
              </w:rPr>
              <w:instrText xml:space="preserve"> = 2 \* GB3 </w:instrText>
            </w:r>
            <w:r>
              <w:rPr>
                <w:rFonts w:ascii="Times New Roman" w:hAnsi="Times New Roman"/>
                <w:szCs w:val="21"/>
              </w:rPr>
              <w:fldChar w:fldCharType="separate"/>
            </w:r>
            <w:r>
              <w:rPr>
                <w:rFonts w:ascii="宋体" w:hAnsi="宋体"/>
                <w:szCs w:val="21"/>
              </w:rPr>
              <w:t>②</w:t>
            </w:r>
            <w:r>
              <w:rPr>
                <w:rFonts w:ascii="Times New Roman" w:hAnsi="Times New Roman"/>
                <w:szCs w:val="21"/>
              </w:rPr>
              <w:fldChar w:fldCharType="end"/>
            </w:r>
            <w:r>
              <w:rPr>
                <w:rFonts w:ascii="Times New Roman" w:hAnsi="宋体"/>
                <w:szCs w:val="21"/>
              </w:rPr>
              <w:t>有突发性安全事故、群体性事件应对工作预案；</w:t>
            </w:r>
          </w:p>
          <w:p>
            <w:pPr>
              <w:rPr>
                <w:rFonts w:ascii="Times New Roman" w:hAnsi="Times New Roman"/>
                <w:szCs w:val="21"/>
              </w:rPr>
            </w:pPr>
            <w:r>
              <w:rPr>
                <w:rFonts w:ascii="Times New Roman" w:hAnsi="Times New Roman"/>
                <w:szCs w:val="21"/>
              </w:rPr>
              <w:fldChar w:fldCharType="begin"/>
            </w:r>
            <w:r>
              <w:rPr>
                <w:rFonts w:ascii="Times New Roman" w:hAnsi="Times New Roman"/>
                <w:szCs w:val="21"/>
              </w:rPr>
              <w:instrText xml:space="preserve"> = 3 \* GB3 </w:instrText>
            </w:r>
            <w:r>
              <w:rPr>
                <w:rFonts w:ascii="Times New Roman" w:hAnsi="Times New Roman"/>
                <w:szCs w:val="21"/>
              </w:rPr>
              <w:fldChar w:fldCharType="separate"/>
            </w:r>
            <w:r>
              <w:rPr>
                <w:rFonts w:ascii="宋体" w:hAnsi="宋体"/>
                <w:szCs w:val="21"/>
              </w:rPr>
              <w:t>③</w:t>
            </w:r>
            <w:r>
              <w:rPr>
                <w:rFonts w:ascii="Times New Roman" w:hAnsi="Times New Roman"/>
                <w:szCs w:val="21"/>
              </w:rPr>
              <w:fldChar w:fldCharType="end"/>
            </w:r>
            <w:r>
              <w:rPr>
                <w:rFonts w:ascii="Times New Roman" w:hAnsi="宋体"/>
                <w:szCs w:val="21"/>
              </w:rPr>
              <w:t>近三年发生的质量事故均有分析报告及其反馈处理效果报告；</w:t>
            </w:r>
          </w:p>
        </w:tc>
        <w:tc>
          <w:tcPr>
            <w:tcW w:w="5103" w:type="dxa"/>
            <w:tcBorders>
              <w:bottom w:val="single" w:color="auto" w:sz="4" w:space="0"/>
            </w:tcBorders>
            <w:vAlign w:val="center"/>
          </w:tcPr>
          <w:p>
            <w:pPr>
              <w:rPr>
                <w:rFonts w:hint="eastAsia" w:ascii="Times New Roman" w:hAnsi="宋体"/>
                <w:szCs w:val="21"/>
              </w:rPr>
            </w:pPr>
            <w:r>
              <w:rPr>
                <w:rFonts w:hint="eastAsia" w:ascii="Times New Roman" w:hAnsi="Times New Roman"/>
                <w:szCs w:val="21"/>
              </w:rPr>
              <w:t>1、学院</w:t>
            </w:r>
            <w:r>
              <w:rPr>
                <w:rFonts w:ascii="Times New Roman" w:hAnsi="宋体"/>
                <w:szCs w:val="21"/>
              </w:rPr>
              <w:t>过程信息监测分析机制与质量事故预警制度</w:t>
            </w:r>
            <w:r>
              <w:rPr>
                <w:rFonts w:hint="eastAsia" w:ascii="Times New Roman" w:hAnsi="宋体"/>
                <w:szCs w:val="21"/>
              </w:rPr>
              <w:t>；</w:t>
            </w:r>
          </w:p>
          <w:p>
            <w:pPr>
              <w:rPr>
                <w:rFonts w:hint="eastAsia" w:ascii="Times New Roman" w:hAnsi="宋体"/>
                <w:szCs w:val="21"/>
              </w:rPr>
            </w:pPr>
            <w:r>
              <w:rPr>
                <w:rFonts w:hint="eastAsia" w:ascii="Times New Roman" w:hAnsi="Times New Roman"/>
                <w:szCs w:val="21"/>
              </w:rPr>
              <w:t>2、学院有关</w:t>
            </w:r>
            <w:r>
              <w:rPr>
                <w:rFonts w:ascii="Times New Roman" w:hAnsi="宋体"/>
                <w:szCs w:val="21"/>
              </w:rPr>
              <w:t>突发性安全事故、群体性事件应对工作预案</w:t>
            </w:r>
            <w:r>
              <w:rPr>
                <w:rFonts w:hint="eastAsia" w:ascii="Times New Roman" w:hAnsi="宋体"/>
                <w:szCs w:val="21"/>
              </w:rPr>
              <w:t>；</w:t>
            </w:r>
          </w:p>
          <w:p>
            <w:pPr>
              <w:rPr>
                <w:rFonts w:hint="eastAsia" w:ascii="Times New Roman" w:hAnsi="宋体"/>
                <w:szCs w:val="21"/>
              </w:rPr>
            </w:pPr>
            <w:r>
              <w:rPr>
                <w:rFonts w:hint="eastAsia" w:ascii="Times New Roman" w:hAnsi="宋体"/>
                <w:szCs w:val="21"/>
              </w:rPr>
              <w:t>3、</w:t>
            </w:r>
            <w:r>
              <w:rPr>
                <w:rFonts w:ascii="Times New Roman" w:hAnsi="宋体"/>
                <w:szCs w:val="21"/>
              </w:rPr>
              <w:t>近三年发生的质量事故分析报告</w:t>
            </w:r>
            <w:r>
              <w:rPr>
                <w:rFonts w:hint="eastAsia" w:ascii="Times New Roman" w:hAnsi="宋体"/>
                <w:szCs w:val="21"/>
              </w:rPr>
              <w:t>；</w:t>
            </w:r>
          </w:p>
          <w:p>
            <w:pPr>
              <w:rPr>
                <w:rFonts w:hint="eastAsia" w:ascii="Times New Roman" w:hAnsi="Times New Roman"/>
                <w:szCs w:val="21"/>
              </w:rPr>
            </w:pPr>
            <w:r>
              <w:rPr>
                <w:rFonts w:ascii="Times New Roman" w:hAnsi="宋体"/>
                <w:szCs w:val="21"/>
              </w:rPr>
              <w:t>近三年发生的质量事故反馈处理效果报告</w:t>
            </w:r>
            <w:r>
              <w:rPr>
                <w:rFonts w:hint="eastAsia" w:ascii="Times New Roman" w:hAnsi="宋体"/>
                <w:szCs w:val="21"/>
              </w:rPr>
              <w:t>；</w:t>
            </w:r>
          </w:p>
          <w:p>
            <w:pPr>
              <w:rPr>
                <w:rFonts w:ascii="Times New Roman" w:hAnsi="Times New Roman"/>
                <w:szCs w:val="21"/>
              </w:rPr>
            </w:pPr>
            <w:r>
              <w:rPr>
                <w:rFonts w:hint="eastAsia" w:ascii="Times New Roman" w:hAnsi="Times New Roman"/>
                <w:szCs w:val="21"/>
              </w:rPr>
              <w:t>4、</w:t>
            </w:r>
            <w:r>
              <w:rPr>
                <w:rFonts w:ascii="Times New Roman" w:hAnsi="宋体"/>
                <w:szCs w:val="21"/>
              </w:rPr>
              <w:t>近三年</w:t>
            </w:r>
            <w:r>
              <w:rPr>
                <w:rFonts w:hint="eastAsia" w:ascii="Times New Roman" w:hAnsi="宋体"/>
                <w:szCs w:val="21"/>
              </w:rPr>
              <w:t>学校获得平安校园荣誉材料。</w:t>
            </w:r>
          </w:p>
        </w:tc>
        <w:tc>
          <w:tcPr>
            <w:tcW w:w="1096" w:type="dxa"/>
            <w:tcBorders>
              <w:bottom w:val="single" w:color="auto" w:sz="4" w:space="0"/>
            </w:tcBorders>
            <w:vAlign w:val="center"/>
          </w:tcPr>
          <w:p>
            <w:pPr>
              <w:jc w:val="center"/>
              <w:rPr>
                <w:rFonts w:ascii="Times New Roman" w:hAnsi="Times New Roman"/>
                <w:szCs w:val="21"/>
              </w:rPr>
            </w:pPr>
            <w:r>
              <w:rPr>
                <w:rFonts w:hint="eastAsia" w:ascii="Times New Roman" w:hAnsi="宋体"/>
                <w:szCs w:val="21"/>
              </w:rPr>
              <w:t>监察审计室</w:t>
            </w:r>
          </w:p>
        </w:tc>
        <w:tc>
          <w:tcPr>
            <w:tcW w:w="1388" w:type="dxa"/>
            <w:tcBorders>
              <w:bottom w:val="single" w:color="auto" w:sz="4" w:space="0"/>
            </w:tcBorders>
            <w:vAlign w:val="center"/>
          </w:tcPr>
          <w:p>
            <w:pPr>
              <w:jc w:val="center"/>
              <w:rPr>
                <w:rFonts w:hint="eastAsia" w:hAnsi="宋体"/>
                <w:szCs w:val="21"/>
              </w:rPr>
            </w:pPr>
            <w:r>
              <w:rPr>
                <w:rFonts w:hint="eastAsia" w:ascii="Times New Roman" w:hAnsi="宋体"/>
                <w:szCs w:val="21"/>
              </w:rPr>
              <w:t>监察审计室</w:t>
            </w:r>
          </w:p>
          <w:p>
            <w:pPr>
              <w:jc w:val="center"/>
              <w:rPr>
                <w:rFonts w:hint="eastAsia" w:hAnsi="宋体"/>
                <w:szCs w:val="21"/>
              </w:rPr>
            </w:pPr>
            <w:r>
              <w:rPr>
                <w:rFonts w:hint="eastAsia" w:hAnsi="宋体"/>
                <w:szCs w:val="21"/>
              </w:rPr>
              <w:t>保卫科</w:t>
            </w:r>
          </w:p>
          <w:p>
            <w:pPr>
              <w:jc w:val="center"/>
              <w:rPr>
                <w:rFonts w:hint="eastAsia" w:hAnsi="宋体"/>
                <w:szCs w:val="21"/>
              </w:rPr>
            </w:pPr>
            <w:r>
              <w:rPr>
                <w:rFonts w:hint="eastAsia" w:hAnsi="宋体"/>
                <w:szCs w:val="21"/>
              </w:rPr>
              <w:t>学工处</w:t>
            </w:r>
          </w:p>
          <w:p>
            <w:pPr>
              <w:jc w:val="center"/>
              <w:rPr>
                <w:rFonts w:hint="eastAsia" w:hAnsi="宋体"/>
                <w:szCs w:val="21"/>
              </w:rPr>
            </w:pPr>
            <w:r>
              <w:rPr>
                <w:rFonts w:hint="eastAsia" w:hAnsi="宋体"/>
                <w:szCs w:val="21"/>
              </w:rPr>
              <w:t>后勤处</w:t>
            </w:r>
          </w:p>
          <w:p>
            <w:pPr>
              <w:jc w:val="center"/>
              <w:rPr>
                <w:rFonts w:hAnsi="宋体"/>
                <w:szCs w:val="21"/>
              </w:rPr>
            </w:pPr>
            <w:r>
              <w:rPr>
                <w:rFonts w:hint="eastAsia" w:hAnsi="宋体"/>
                <w:szCs w:val="21"/>
              </w:rPr>
              <w:t>各部门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2" w:hRule="atLeast"/>
          <w:jc w:val="center"/>
        </w:trPr>
        <w:tc>
          <w:tcPr>
            <w:tcW w:w="1004" w:type="dxa"/>
            <w:vMerge w:val="continue"/>
            <w:shd w:val="clear" w:color="auto" w:fill="auto"/>
            <w:vAlign w:val="center"/>
          </w:tcPr>
          <w:p>
            <w:pPr>
              <w:jc w:val="center"/>
              <w:rPr>
                <w:rFonts w:ascii="Times New Roman" w:hAnsi="Times New Roman"/>
                <w:szCs w:val="21"/>
              </w:rPr>
            </w:pPr>
          </w:p>
        </w:tc>
        <w:tc>
          <w:tcPr>
            <w:tcW w:w="724" w:type="dxa"/>
            <w:vMerge w:val="restart"/>
            <w:shd w:val="clear" w:color="auto" w:fill="auto"/>
            <w:vAlign w:val="center"/>
          </w:tcPr>
          <w:p>
            <w:pPr>
              <w:jc w:val="center"/>
              <w:rPr>
                <w:rFonts w:ascii="Times New Roman" w:hAnsi="Times New Roman"/>
                <w:szCs w:val="21"/>
              </w:rPr>
            </w:pPr>
            <w:r>
              <w:rPr>
                <w:rFonts w:ascii="Times New Roman" w:hAnsi="Times New Roman"/>
                <w:szCs w:val="21"/>
              </w:rPr>
              <w:t>5.3</w:t>
            </w:r>
            <w:r>
              <w:rPr>
                <w:rFonts w:ascii="Times New Roman" w:hAnsi="宋体"/>
                <w:szCs w:val="21"/>
              </w:rPr>
              <w:t>质量保证效果</w:t>
            </w:r>
          </w:p>
        </w:tc>
        <w:tc>
          <w:tcPr>
            <w:tcW w:w="897" w:type="dxa"/>
            <w:shd w:val="clear" w:color="auto" w:fill="auto"/>
            <w:vAlign w:val="center"/>
          </w:tcPr>
          <w:p>
            <w:pPr>
              <w:jc w:val="center"/>
              <w:rPr>
                <w:rFonts w:ascii="Times New Roman" w:hAnsi="Times New Roman"/>
                <w:szCs w:val="21"/>
              </w:rPr>
            </w:pPr>
            <w:r>
              <w:rPr>
                <w:rFonts w:ascii="Times New Roman" w:hAnsi="宋体"/>
                <w:szCs w:val="21"/>
              </w:rPr>
              <w:t>规划体系建设及效果</w:t>
            </w:r>
          </w:p>
        </w:tc>
        <w:tc>
          <w:tcPr>
            <w:tcW w:w="4650" w:type="dxa"/>
            <w:shd w:val="clear" w:color="auto" w:fill="auto"/>
            <w:vAlign w:val="center"/>
          </w:tcPr>
          <w:p>
            <w:pPr>
              <w:rPr>
                <w:rFonts w:ascii="Times New Roman" w:hAnsi="Times New Roman"/>
                <w:szCs w:val="21"/>
              </w:rPr>
            </w:pPr>
            <w:r>
              <w:rPr>
                <w:rFonts w:ascii="Times New Roman" w:hAnsi="Times New Roman"/>
                <w:szCs w:val="21"/>
              </w:rPr>
              <w:fldChar w:fldCharType="begin"/>
            </w:r>
            <w:r>
              <w:rPr>
                <w:rFonts w:ascii="Times New Roman" w:hAnsi="Times New Roman"/>
                <w:szCs w:val="21"/>
              </w:rPr>
              <w:instrText xml:space="preserve"> = 1 \* GB3 </w:instrText>
            </w:r>
            <w:r>
              <w:rPr>
                <w:rFonts w:ascii="Times New Roman" w:hAnsi="Times New Roman"/>
                <w:szCs w:val="21"/>
              </w:rPr>
              <w:fldChar w:fldCharType="separate"/>
            </w:r>
            <w:r>
              <w:rPr>
                <w:rFonts w:ascii="宋体" w:hAnsi="宋体"/>
                <w:szCs w:val="21"/>
              </w:rPr>
              <w:t>①</w:t>
            </w:r>
            <w:r>
              <w:rPr>
                <w:rFonts w:ascii="Times New Roman" w:hAnsi="Times New Roman"/>
                <w:szCs w:val="21"/>
              </w:rPr>
              <w:fldChar w:fldCharType="end"/>
            </w:r>
            <w:r>
              <w:rPr>
                <w:rFonts w:ascii="Times New Roman" w:hAnsi="宋体"/>
                <w:szCs w:val="21"/>
              </w:rPr>
              <w:t>质量保证各项规划完备、体系科学，实施顺利，目标达成度高。</w:t>
            </w:r>
          </w:p>
        </w:tc>
        <w:tc>
          <w:tcPr>
            <w:tcW w:w="5103" w:type="dxa"/>
            <w:vAlign w:val="center"/>
          </w:tcPr>
          <w:p>
            <w:pPr>
              <w:rPr>
                <w:rFonts w:hint="eastAsia"/>
                <w:szCs w:val="21"/>
              </w:rPr>
            </w:pPr>
            <w:r>
              <w:rPr>
                <w:rFonts w:hint="eastAsia" w:ascii="Times New Roman" w:hAnsi="Times New Roman"/>
                <w:szCs w:val="21"/>
              </w:rPr>
              <w:t>1、</w:t>
            </w:r>
            <w:r>
              <w:rPr>
                <w:rFonts w:hAnsi="宋体"/>
                <w:szCs w:val="21"/>
              </w:rPr>
              <w:t>学院事业发展规划（</w:t>
            </w:r>
            <w:r>
              <w:rPr>
                <w:szCs w:val="21"/>
              </w:rPr>
              <w:t>“</w:t>
            </w:r>
            <w:r>
              <w:rPr>
                <w:rFonts w:hAnsi="宋体"/>
                <w:szCs w:val="21"/>
              </w:rPr>
              <w:t>十二五</w:t>
            </w:r>
            <w:r>
              <w:rPr>
                <w:szCs w:val="21"/>
              </w:rPr>
              <w:t xml:space="preserve">” </w:t>
            </w:r>
            <w:r>
              <w:rPr>
                <w:rFonts w:hAnsi="宋体"/>
                <w:szCs w:val="21"/>
              </w:rPr>
              <w:t>、</w:t>
            </w:r>
            <w:r>
              <w:rPr>
                <w:szCs w:val="21"/>
              </w:rPr>
              <w:t>“</w:t>
            </w:r>
            <w:r>
              <w:rPr>
                <w:rFonts w:hAnsi="宋体"/>
                <w:szCs w:val="21"/>
              </w:rPr>
              <w:t>十三五</w:t>
            </w:r>
            <w:r>
              <w:rPr>
                <w:szCs w:val="21"/>
              </w:rPr>
              <w:t>”</w:t>
            </w:r>
            <w:r>
              <w:rPr>
                <w:rFonts w:hAnsi="宋体"/>
                <w:szCs w:val="21"/>
              </w:rPr>
              <w:t>）；</w:t>
            </w:r>
          </w:p>
          <w:p>
            <w:pPr>
              <w:rPr>
                <w:rFonts w:hint="eastAsia" w:hAnsi="宋体"/>
                <w:szCs w:val="21"/>
              </w:rPr>
            </w:pPr>
            <w:r>
              <w:rPr>
                <w:rFonts w:hint="eastAsia"/>
                <w:szCs w:val="21"/>
              </w:rPr>
              <w:t>2、</w:t>
            </w:r>
            <w:r>
              <w:rPr>
                <w:rFonts w:hint="eastAsia" w:hAnsi="宋体"/>
                <w:szCs w:val="21"/>
              </w:rPr>
              <w:t>学院师资队伍建设规划</w:t>
            </w:r>
            <w:r>
              <w:rPr>
                <w:rFonts w:hAnsi="宋体"/>
                <w:szCs w:val="21"/>
              </w:rPr>
              <w:t>（</w:t>
            </w:r>
            <w:r>
              <w:rPr>
                <w:szCs w:val="21"/>
              </w:rPr>
              <w:t>“</w:t>
            </w:r>
            <w:r>
              <w:rPr>
                <w:rFonts w:hAnsi="宋体"/>
                <w:szCs w:val="21"/>
              </w:rPr>
              <w:t>十二五</w:t>
            </w:r>
            <w:r>
              <w:rPr>
                <w:szCs w:val="21"/>
              </w:rPr>
              <w:t xml:space="preserve">” </w:t>
            </w:r>
            <w:r>
              <w:rPr>
                <w:rFonts w:hAnsi="宋体"/>
                <w:szCs w:val="21"/>
              </w:rPr>
              <w:t>、</w:t>
            </w:r>
            <w:r>
              <w:rPr>
                <w:szCs w:val="21"/>
              </w:rPr>
              <w:t>“</w:t>
            </w:r>
            <w:r>
              <w:rPr>
                <w:rFonts w:hAnsi="宋体"/>
                <w:szCs w:val="21"/>
              </w:rPr>
              <w:t>十三五</w:t>
            </w:r>
            <w:r>
              <w:rPr>
                <w:szCs w:val="21"/>
              </w:rPr>
              <w:t>”</w:t>
            </w:r>
            <w:r>
              <w:rPr>
                <w:rFonts w:hAnsi="宋体"/>
                <w:szCs w:val="21"/>
              </w:rPr>
              <w:t>）</w:t>
            </w:r>
            <w:r>
              <w:rPr>
                <w:rFonts w:hint="eastAsia" w:hAnsi="宋体"/>
                <w:szCs w:val="21"/>
              </w:rPr>
              <w:t>；</w:t>
            </w:r>
          </w:p>
          <w:p>
            <w:pPr>
              <w:rPr>
                <w:rFonts w:hint="eastAsia" w:hAnsi="宋体"/>
                <w:szCs w:val="21"/>
              </w:rPr>
            </w:pPr>
            <w:r>
              <w:rPr>
                <w:rFonts w:hint="eastAsia"/>
                <w:szCs w:val="21"/>
              </w:rPr>
              <w:t>3、</w:t>
            </w:r>
            <w:r>
              <w:rPr>
                <w:rFonts w:hAnsi="宋体"/>
                <w:szCs w:val="21"/>
              </w:rPr>
              <w:t>学院专业建设发展规划（</w:t>
            </w:r>
            <w:r>
              <w:rPr>
                <w:szCs w:val="21"/>
              </w:rPr>
              <w:t>“</w:t>
            </w:r>
            <w:r>
              <w:rPr>
                <w:rFonts w:hAnsi="宋体"/>
                <w:szCs w:val="21"/>
              </w:rPr>
              <w:t>十二五</w:t>
            </w:r>
            <w:r>
              <w:rPr>
                <w:szCs w:val="21"/>
              </w:rPr>
              <w:t>”</w:t>
            </w:r>
            <w:r>
              <w:rPr>
                <w:rFonts w:hAnsi="宋体"/>
                <w:szCs w:val="21"/>
              </w:rPr>
              <w:t>、</w:t>
            </w:r>
            <w:r>
              <w:rPr>
                <w:szCs w:val="21"/>
              </w:rPr>
              <w:t xml:space="preserve"> “</w:t>
            </w:r>
            <w:r>
              <w:rPr>
                <w:rFonts w:hAnsi="宋体"/>
                <w:szCs w:val="21"/>
              </w:rPr>
              <w:t>十三五</w:t>
            </w:r>
            <w:r>
              <w:rPr>
                <w:szCs w:val="21"/>
              </w:rPr>
              <w:t>”</w:t>
            </w:r>
            <w:r>
              <w:rPr>
                <w:rFonts w:hAnsi="宋体"/>
                <w:szCs w:val="21"/>
              </w:rPr>
              <w:t>）</w:t>
            </w:r>
            <w:r>
              <w:rPr>
                <w:rFonts w:hint="eastAsia" w:hAnsi="宋体"/>
                <w:szCs w:val="21"/>
              </w:rPr>
              <w:t>；</w:t>
            </w:r>
          </w:p>
          <w:p>
            <w:pPr>
              <w:rPr>
                <w:rFonts w:hint="eastAsia" w:hAnsi="宋体"/>
                <w:szCs w:val="21"/>
              </w:rPr>
            </w:pPr>
            <w:r>
              <w:rPr>
                <w:rFonts w:hint="eastAsia" w:hAnsi="宋体"/>
                <w:szCs w:val="21"/>
              </w:rPr>
              <w:t>4、学院十二五实训基地建设规划；</w:t>
            </w:r>
          </w:p>
          <w:p>
            <w:pPr>
              <w:rPr>
                <w:rFonts w:hint="eastAsia" w:ascii="Times New Roman" w:hAnsi="宋体"/>
                <w:szCs w:val="21"/>
              </w:rPr>
            </w:pPr>
            <w:r>
              <w:rPr>
                <w:rFonts w:hint="eastAsia"/>
                <w:szCs w:val="21"/>
              </w:rPr>
              <w:t>5、</w:t>
            </w:r>
            <w:r>
              <w:rPr>
                <w:rFonts w:hAnsi="宋体"/>
                <w:szCs w:val="21"/>
              </w:rPr>
              <w:t>学院年度工作要点及工作总结</w:t>
            </w:r>
            <w:r>
              <w:rPr>
                <w:rFonts w:hint="eastAsia" w:hAnsi="宋体"/>
                <w:szCs w:val="21"/>
              </w:rPr>
              <w:t>（2014、2015年度）。</w:t>
            </w:r>
          </w:p>
          <w:p>
            <w:pPr>
              <w:rPr>
                <w:rFonts w:ascii="Times New Roman" w:hAnsi="宋体"/>
                <w:szCs w:val="21"/>
              </w:rPr>
            </w:pPr>
            <w:r>
              <w:rPr>
                <w:rFonts w:hint="eastAsia" w:ascii="Times New Roman" w:hAnsi="宋体"/>
                <w:szCs w:val="21"/>
              </w:rPr>
              <w:t>6、近二年学院人才培养质量报告。</w:t>
            </w:r>
          </w:p>
        </w:tc>
        <w:tc>
          <w:tcPr>
            <w:tcW w:w="1096" w:type="dxa"/>
            <w:vAlign w:val="center"/>
          </w:tcPr>
          <w:p>
            <w:pPr>
              <w:jc w:val="center"/>
              <w:rPr>
                <w:rFonts w:hAnsi="宋体"/>
                <w:szCs w:val="21"/>
              </w:rPr>
            </w:pPr>
            <w:r>
              <w:rPr>
                <w:rFonts w:hint="eastAsia" w:hAnsi="宋体"/>
                <w:szCs w:val="21"/>
              </w:rPr>
              <w:t>办公室</w:t>
            </w:r>
          </w:p>
        </w:tc>
        <w:tc>
          <w:tcPr>
            <w:tcW w:w="1388" w:type="dxa"/>
            <w:vAlign w:val="center"/>
          </w:tcPr>
          <w:p>
            <w:pPr>
              <w:jc w:val="center"/>
              <w:rPr>
                <w:rFonts w:hint="eastAsia" w:hAnsi="宋体"/>
                <w:szCs w:val="21"/>
              </w:rPr>
            </w:pPr>
            <w:r>
              <w:rPr>
                <w:rFonts w:hint="eastAsia" w:hAnsi="宋体"/>
                <w:szCs w:val="21"/>
              </w:rPr>
              <w:t>办公室</w:t>
            </w:r>
          </w:p>
          <w:p>
            <w:pPr>
              <w:jc w:val="center"/>
              <w:rPr>
                <w:rFonts w:hint="eastAsia" w:hAnsi="宋体"/>
                <w:szCs w:val="21"/>
              </w:rPr>
            </w:pPr>
            <w:r>
              <w:rPr>
                <w:rFonts w:hint="eastAsia" w:hAnsi="宋体"/>
                <w:szCs w:val="21"/>
              </w:rPr>
              <w:t>人事处</w:t>
            </w:r>
          </w:p>
          <w:p>
            <w:pPr>
              <w:jc w:val="center"/>
              <w:rPr>
                <w:rFonts w:hint="eastAsia" w:hAnsi="宋体"/>
                <w:szCs w:val="21"/>
              </w:rPr>
            </w:pPr>
            <w:r>
              <w:rPr>
                <w:rFonts w:hint="eastAsia" w:hAnsi="宋体"/>
                <w:szCs w:val="21"/>
              </w:rPr>
              <w:t>教务处</w:t>
            </w:r>
          </w:p>
          <w:p>
            <w:pPr>
              <w:jc w:val="center"/>
              <w:rPr>
                <w:rFonts w:hint="eastAsia" w:hAnsi="宋体"/>
                <w:szCs w:val="21"/>
              </w:rPr>
            </w:pPr>
            <w:r>
              <w:rPr>
                <w:rFonts w:hint="eastAsia" w:hAnsi="宋体"/>
                <w:szCs w:val="21"/>
              </w:rPr>
              <w:t>质控中心</w:t>
            </w:r>
          </w:p>
          <w:p>
            <w:pPr>
              <w:jc w:val="center"/>
              <w:rPr>
                <w:rFonts w:hAnsi="宋体"/>
                <w:szCs w:val="21"/>
              </w:rPr>
            </w:pPr>
            <w:r>
              <w:rPr>
                <w:rFonts w:hint="eastAsia" w:hAnsi="宋体"/>
                <w:szCs w:val="21"/>
              </w:rPr>
              <w:t>各部门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7" w:hRule="atLeast"/>
          <w:jc w:val="center"/>
        </w:trPr>
        <w:tc>
          <w:tcPr>
            <w:tcW w:w="1004" w:type="dxa"/>
            <w:vMerge w:val="continue"/>
            <w:shd w:val="clear" w:color="auto" w:fill="auto"/>
            <w:vAlign w:val="center"/>
          </w:tcPr>
          <w:p>
            <w:pPr>
              <w:jc w:val="center"/>
              <w:rPr>
                <w:rFonts w:ascii="Times New Roman" w:hAnsi="Times New Roman"/>
                <w:szCs w:val="21"/>
              </w:rPr>
            </w:pPr>
          </w:p>
        </w:tc>
        <w:tc>
          <w:tcPr>
            <w:tcW w:w="724" w:type="dxa"/>
            <w:vMerge w:val="continue"/>
            <w:shd w:val="clear" w:color="auto" w:fill="auto"/>
            <w:vAlign w:val="center"/>
          </w:tcPr>
          <w:p>
            <w:pPr>
              <w:jc w:val="center"/>
              <w:rPr>
                <w:rFonts w:ascii="Times New Roman" w:hAnsi="Times New Roman"/>
                <w:szCs w:val="21"/>
              </w:rPr>
            </w:pPr>
          </w:p>
        </w:tc>
        <w:tc>
          <w:tcPr>
            <w:tcW w:w="897" w:type="dxa"/>
            <w:tcBorders>
              <w:bottom w:val="single" w:color="auto" w:sz="4" w:space="0"/>
            </w:tcBorders>
            <w:shd w:val="clear" w:color="auto" w:fill="auto"/>
            <w:vAlign w:val="center"/>
          </w:tcPr>
          <w:p>
            <w:pPr>
              <w:jc w:val="center"/>
              <w:rPr>
                <w:rFonts w:ascii="Times New Roman" w:hAnsi="Times New Roman"/>
                <w:szCs w:val="21"/>
              </w:rPr>
            </w:pPr>
            <w:r>
              <w:rPr>
                <w:rFonts w:ascii="Times New Roman" w:hAnsi="宋体"/>
                <w:szCs w:val="21"/>
              </w:rPr>
              <w:t>标准体系建设及效果</w:t>
            </w:r>
          </w:p>
        </w:tc>
        <w:tc>
          <w:tcPr>
            <w:tcW w:w="4650" w:type="dxa"/>
            <w:tcBorders>
              <w:bottom w:val="single" w:color="auto" w:sz="4" w:space="0"/>
            </w:tcBorders>
            <w:shd w:val="clear" w:color="auto" w:fill="auto"/>
            <w:vAlign w:val="center"/>
          </w:tcPr>
          <w:p>
            <w:pPr>
              <w:rPr>
                <w:rFonts w:ascii="Times New Roman" w:hAnsi="Times New Roman"/>
                <w:szCs w:val="21"/>
              </w:rPr>
            </w:pPr>
            <w:r>
              <w:rPr>
                <w:rFonts w:ascii="Times New Roman" w:hAnsi="Times New Roman"/>
                <w:szCs w:val="21"/>
              </w:rPr>
              <w:fldChar w:fldCharType="begin"/>
            </w:r>
            <w:r>
              <w:rPr>
                <w:rFonts w:ascii="Times New Roman" w:hAnsi="Times New Roman"/>
                <w:szCs w:val="21"/>
              </w:rPr>
              <w:instrText xml:space="preserve"> = 1 \* GB3 </w:instrText>
            </w:r>
            <w:r>
              <w:rPr>
                <w:rFonts w:ascii="Times New Roman" w:hAnsi="Times New Roman"/>
                <w:szCs w:val="21"/>
              </w:rPr>
              <w:fldChar w:fldCharType="separate"/>
            </w:r>
            <w:r>
              <w:rPr>
                <w:rFonts w:ascii="宋体" w:hAnsi="宋体"/>
                <w:szCs w:val="21"/>
              </w:rPr>
              <w:t>①</w:t>
            </w:r>
            <w:r>
              <w:rPr>
                <w:rFonts w:ascii="Times New Roman" w:hAnsi="Times New Roman"/>
                <w:szCs w:val="21"/>
              </w:rPr>
              <w:fldChar w:fldCharType="end"/>
            </w:r>
            <w:r>
              <w:rPr>
                <w:rFonts w:ascii="Times New Roman" w:hAnsi="宋体"/>
                <w:szCs w:val="21"/>
              </w:rPr>
              <w:t>学校专业、课程、师资、学生发展等层面有完备的质量标准，各项质量标准科学、合理，形成体系；</w:t>
            </w:r>
          </w:p>
          <w:p>
            <w:pPr>
              <w:rPr>
                <w:rFonts w:hint="eastAsia" w:ascii="Times New Roman" w:hAnsi="宋体"/>
                <w:szCs w:val="21"/>
              </w:rPr>
            </w:pPr>
            <w:r>
              <w:rPr>
                <w:rFonts w:ascii="Times New Roman" w:hAnsi="Times New Roman"/>
                <w:szCs w:val="21"/>
              </w:rPr>
              <w:fldChar w:fldCharType="begin"/>
            </w:r>
            <w:r>
              <w:rPr>
                <w:rFonts w:ascii="Times New Roman" w:hAnsi="Times New Roman"/>
                <w:szCs w:val="21"/>
              </w:rPr>
              <w:instrText xml:space="preserve"> = 2 \* GB3 </w:instrText>
            </w:r>
            <w:r>
              <w:rPr>
                <w:rFonts w:ascii="Times New Roman" w:hAnsi="Times New Roman"/>
                <w:szCs w:val="21"/>
              </w:rPr>
              <w:fldChar w:fldCharType="separate"/>
            </w:r>
            <w:r>
              <w:rPr>
                <w:rFonts w:ascii="宋体" w:hAnsi="宋体"/>
                <w:szCs w:val="21"/>
              </w:rPr>
              <w:t>②</w:t>
            </w:r>
            <w:r>
              <w:rPr>
                <w:rFonts w:ascii="Times New Roman" w:hAnsi="Times New Roman"/>
                <w:szCs w:val="21"/>
              </w:rPr>
              <w:fldChar w:fldCharType="end"/>
            </w:r>
            <w:r>
              <w:rPr>
                <w:rFonts w:ascii="Times New Roman" w:hAnsi="宋体"/>
                <w:szCs w:val="21"/>
              </w:rPr>
              <w:t>各项质量标准能在诊改过程中根据教育教学需求、市场人才需求等实际不断调整优化；</w:t>
            </w:r>
          </w:p>
          <w:p>
            <w:pPr>
              <w:rPr>
                <w:rFonts w:ascii="Times New Roman" w:hAnsi="Times New Roman"/>
                <w:szCs w:val="21"/>
              </w:rPr>
            </w:pPr>
            <w:r>
              <w:rPr>
                <w:rFonts w:ascii="Times New Roman" w:hAnsi="Times New Roman"/>
                <w:szCs w:val="21"/>
              </w:rPr>
              <w:fldChar w:fldCharType="begin"/>
            </w:r>
            <w:r>
              <w:rPr>
                <w:rFonts w:ascii="Times New Roman" w:hAnsi="Times New Roman"/>
                <w:szCs w:val="21"/>
              </w:rPr>
              <w:instrText xml:space="preserve"> = 3 \* GB3 </w:instrText>
            </w:r>
            <w:r>
              <w:rPr>
                <w:rFonts w:ascii="Times New Roman" w:hAnsi="Times New Roman"/>
                <w:szCs w:val="21"/>
              </w:rPr>
              <w:fldChar w:fldCharType="separate"/>
            </w:r>
            <w:r>
              <w:rPr>
                <w:rFonts w:ascii="宋体" w:hAnsi="宋体"/>
                <w:szCs w:val="21"/>
              </w:rPr>
              <w:t>③</w:t>
            </w:r>
            <w:r>
              <w:rPr>
                <w:rFonts w:ascii="Times New Roman" w:hAnsi="Times New Roman"/>
                <w:szCs w:val="21"/>
              </w:rPr>
              <w:fldChar w:fldCharType="end"/>
            </w:r>
            <w:r>
              <w:rPr>
                <w:rFonts w:ascii="Times New Roman" w:hAnsi="宋体"/>
                <w:szCs w:val="21"/>
              </w:rPr>
              <w:t>各项质量标准社会认可度高。</w:t>
            </w:r>
          </w:p>
        </w:tc>
        <w:tc>
          <w:tcPr>
            <w:tcW w:w="5103" w:type="dxa"/>
            <w:tcBorders>
              <w:bottom w:val="single" w:color="auto" w:sz="4" w:space="0"/>
            </w:tcBorders>
            <w:vAlign w:val="center"/>
          </w:tcPr>
          <w:p>
            <w:pPr>
              <w:rPr>
                <w:rFonts w:hint="eastAsia" w:ascii="Times New Roman" w:hAnsi="Times New Roman"/>
                <w:szCs w:val="21"/>
              </w:rPr>
            </w:pPr>
            <w:r>
              <w:rPr>
                <w:rFonts w:hint="eastAsia" w:ascii="Times New Roman" w:hAnsi="Times New Roman"/>
                <w:szCs w:val="21"/>
              </w:rPr>
              <w:t>1、学院各部门制定的各项质量标准汇编；</w:t>
            </w:r>
          </w:p>
          <w:p>
            <w:pPr>
              <w:rPr>
                <w:rFonts w:hint="eastAsia" w:ascii="Times New Roman" w:hAnsi="宋体"/>
                <w:szCs w:val="21"/>
              </w:rPr>
            </w:pPr>
            <w:r>
              <w:rPr>
                <w:rFonts w:hint="eastAsia" w:ascii="Times New Roman" w:hAnsi="Times New Roman"/>
                <w:szCs w:val="21"/>
              </w:rPr>
              <w:t>2、学院有关</w:t>
            </w:r>
            <w:r>
              <w:rPr>
                <w:rFonts w:ascii="Times New Roman" w:hAnsi="宋体"/>
                <w:szCs w:val="21"/>
              </w:rPr>
              <w:t>各项质量标准</w:t>
            </w:r>
            <w:r>
              <w:rPr>
                <w:rFonts w:hint="eastAsia" w:ascii="Times New Roman" w:hAnsi="宋体"/>
                <w:szCs w:val="21"/>
              </w:rPr>
              <w:t>修订文件通知</w:t>
            </w:r>
            <w:r>
              <w:rPr>
                <w:rFonts w:hint="eastAsia" w:ascii="Times New Roman" w:hAnsi="Times New Roman"/>
                <w:szCs w:val="21"/>
              </w:rPr>
              <w:t>；</w:t>
            </w:r>
          </w:p>
          <w:p>
            <w:pPr>
              <w:rPr>
                <w:rFonts w:ascii="Times New Roman" w:hAnsi="Times New Roman"/>
                <w:szCs w:val="21"/>
              </w:rPr>
            </w:pPr>
            <w:r>
              <w:rPr>
                <w:rFonts w:hint="eastAsia" w:ascii="Times New Roman" w:hAnsi="宋体"/>
                <w:szCs w:val="21"/>
              </w:rPr>
              <w:t>3</w:t>
            </w:r>
            <w:r>
              <w:rPr>
                <w:rFonts w:hint="eastAsia" w:ascii="Times New Roman" w:hAnsi="Times New Roman"/>
                <w:szCs w:val="21"/>
              </w:rPr>
              <w:t>、学院质量保证体系汇编本</w:t>
            </w:r>
            <w:r>
              <w:rPr>
                <w:rFonts w:hint="eastAsia" w:ascii="Times New Roman" w:hAnsi="宋体"/>
                <w:szCs w:val="21"/>
              </w:rPr>
              <w:t>。</w:t>
            </w:r>
          </w:p>
        </w:tc>
        <w:tc>
          <w:tcPr>
            <w:tcW w:w="1096" w:type="dxa"/>
            <w:tcBorders>
              <w:bottom w:val="single" w:color="auto" w:sz="4" w:space="0"/>
            </w:tcBorders>
            <w:vAlign w:val="center"/>
          </w:tcPr>
          <w:p>
            <w:pPr>
              <w:jc w:val="center"/>
              <w:rPr>
                <w:rFonts w:hAnsi="宋体"/>
                <w:szCs w:val="21"/>
              </w:rPr>
            </w:pPr>
            <w:r>
              <w:rPr>
                <w:rFonts w:hAnsi="宋体"/>
                <w:szCs w:val="21"/>
              </w:rPr>
              <w:t>质控中心</w:t>
            </w:r>
          </w:p>
        </w:tc>
        <w:tc>
          <w:tcPr>
            <w:tcW w:w="1388" w:type="dxa"/>
            <w:tcBorders>
              <w:bottom w:val="single" w:color="auto" w:sz="4" w:space="0"/>
            </w:tcBorders>
            <w:vAlign w:val="center"/>
          </w:tcPr>
          <w:p>
            <w:pPr>
              <w:jc w:val="center"/>
              <w:rPr>
                <w:rFonts w:hAnsi="宋体"/>
                <w:szCs w:val="21"/>
              </w:rPr>
            </w:pPr>
            <w:r>
              <w:rPr>
                <w:rFonts w:hint="eastAsia" w:hAnsi="宋体"/>
                <w:szCs w:val="21"/>
              </w:rPr>
              <w:t>各部门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6" w:hRule="atLeast"/>
          <w:jc w:val="center"/>
        </w:trPr>
        <w:tc>
          <w:tcPr>
            <w:tcW w:w="1004" w:type="dxa"/>
            <w:vMerge w:val="continue"/>
            <w:shd w:val="clear" w:color="auto" w:fill="auto"/>
            <w:vAlign w:val="center"/>
          </w:tcPr>
          <w:p>
            <w:pPr>
              <w:jc w:val="center"/>
              <w:rPr>
                <w:rFonts w:ascii="Times New Roman" w:hAnsi="Times New Roman"/>
                <w:szCs w:val="21"/>
              </w:rPr>
            </w:pPr>
          </w:p>
        </w:tc>
        <w:tc>
          <w:tcPr>
            <w:tcW w:w="724" w:type="dxa"/>
            <w:vMerge w:val="continue"/>
            <w:shd w:val="clear" w:color="auto" w:fill="auto"/>
            <w:vAlign w:val="center"/>
          </w:tcPr>
          <w:p>
            <w:pPr>
              <w:jc w:val="center"/>
              <w:rPr>
                <w:rFonts w:ascii="Times New Roman" w:hAnsi="Times New Roman"/>
                <w:szCs w:val="21"/>
              </w:rPr>
            </w:pPr>
          </w:p>
        </w:tc>
        <w:tc>
          <w:tcPr>
            <w:tcW w:w="897" w:type="dxa"/>
            <w:shd w:val="clear" w:color="auto" w:fill="auto"/>
            <w:vAlign w:val="center"/>
          </w:tcPr>
          <w:p>
            <w:pPr>
              <w:jc w:val="center"/>
              <w:rPr>
                <w:rFonts w:ascii="Times New Roman" w:hAnsi="Times New Roman"/>
                <w:szCs w:val="21"/>
              </w:rPr>
            </w:pPr>
            <w:r>
              <w:rPr>
                <w:rFonts w:ascii="Times New Roman" w:hAnsi="宋体"/>
                <w:szCs w:val="21"/>
              </w:rPr>
              <w:t>诊改机制建设及效果</w:t>
            </w:r>
          </w:p>
        </w:tc>
        <w:tc>
          <w:tcPr>
            <w:tcW w:w="4650" w:type="dxa"/>
            <w:shd w:val="clear" w:color="auto" w:fill="auto"/>
            <w:vAlign w:val="center"/>
          </w:tcPr>
          <w:p>
            <w:pPr>
              <w:rPr>
                <w:rFonts w:ascii="Times New Roman" w:hAnsi="Times New Roman"/>
                <w:szCs w:val="21"/>
              </w:rPr>
            </w:pPr>
            <w:r>
              <w:rPr>
                <w:rFonts w:ascii="Times New Roman" w:hAnsi="Times New Roman"/>
                <w:szCs w:val="21"/>
              </w:rPr>
              <w:fldChar w:fldCharType="begin"/>
            </w:r>
            <w:r>
              <w:rPr>
                <w:rFonts w:ascii="Times New Roman" w:hAnsi="Times New Roman"/>
                <w:szCs w:val="21"/>
              </w:rPr>
              <w:instrText xml:space="preserve"> = 1 \* GB3 </w:instrText>
            </w:r>
            <w:r>
              <w:rPr>
                <w:rFonts w:ascii="Times New Roman" w:hAnsi="Times New Roman"/>
                <w:szCs w:val="21"/>
              </w:rPr>
              <w:fldChar w:fldCharType="separate"/>
            </w:r>
            <w:r>
              <w:rPr>
                <w:rFonts w:ascii="宋体" w:hAnsi="宋体"/>
                <w:szCs w:val="21"/>
              </w:rPr>
              <w:t>①</w:t>
            </w:r>
            <w:r>
              <w:rPr>
                <w:rFonts w:ascii="Times New Roman" w:hAnsi="Times New Roman"/>
                <w:szCs w:val="21"/>
              </w:rPr>
              <w:fldChar w:fldCharType="end"/>
            </w:r>
            <w:r>
              <w:rPr>
                <w:rFonts w:ascii="Times New Roman" w:hAnsi="宋体"/>
                <w:szCs w:val="21"/>
              </w:rPr>
              <w:t>随着诊改工作的不断深入，各项内部质量保证制度不断健全，内部质量保证体系日趋完备；</w:t>
            </w:r>
          </w:p>
          <w:p>
            <w:pPr>
              <w:rPr>
                <w:rFonts w:ascii="Times New Roman" w:hAnsi="Times New Roman"/>
                <w:szCs w:val="21"/>
              </w:rPr>
            </w:pPr>
            <w:r>
              <w:rPr>
                <w:rFonts w:ascii="Times New Roman" w:hAnsi="Times New Roman"/>
                <w:szCs w:val="21"/>
              </w:rPr>
              <w:fldChar w:fldCharType="begin"/>
            </w:r>
            <w:r>
              <w:rPr>
                <w:rFonts w:ascii="Times New Roman" w:hAnsi="Times New Roman"/>
                <w:szCs w:val="21"/>
              </w:rPr>
              <w:instrText xml:space="preserve"> = 2 \* GB3 </w:instrText>
            </w:r>
            <w:r>
              <w:rPr>
                <w:rFonts w:ascii="Times New Roman" w:hAnsi="Times New Roman"/>
                <w:szCs w:val="21"/>
              </w:rPr>
              <w:fldChar w:fldCharType="separate"/>
            </w:r>
            <w:r>
              <w:rPr>
                <w:rFonts w:ascii="宋体" w:hAnsi="宋体"/>
                <w:szCs w:val="21"/>
              </w:rPr>
              <w:t>②</w:t>
            </w:r>
            <w:r>
              <w:rPr>
                <w:rFonts w:ascii="Times New Roman" w:hAnsi="Times New Roman"/>
                <w:szCs w:val="21"/>
              </w:rPr>
              <w:fldChar w:fldCharType="end"/>
            </w:r>
            <w:r>
              <w:rPr>
                <w:rFonts w:ascii="Times New Roman" w:hAnsi="宋体"/>
                <w:szCs w:val="21"/>
              </w:rPr>
              <w:t>持续改进的机制呈常态化并步入良性循环，人才培养质量得到持续提升。</w:t>
            </w:r>
          </w:p>
        </w:tc>
        <w:tc>
          <w:tcPr>
            <w:tcW w:w="5103" w:type="dxa"/>
            <w:vAlign w:val="center"/>
          </w:tcPr>
          <w:p>
            <w:pPr>
              <w:rPr>
                <w:rFonts w:hint="eastAsia" w:ascii="Times New Roman" w:hAnsi="Times New Roman"/>
                <w:szCs w:val="21"/>
              </w:rPr>
            </w:pPr>
            <w:r>
              <w:rPr>
                <w:rFonts w:hint="eastAsia" w:ascii="Times New Roman" w:hAnsi="Times New Roman"/>
                <w:szCs w:val="21"/>
              </w:rPr>
              <w:t>1、</w:t>
            </w:r>
            <w:r>
              <w:rPr>
                <w:rFonts w:ascii="Times New Roman" w:hAnsi="宋体"/>
                <w:kern w:val="0"/>
                <w:szCs w:val="21"/>
              </w:rPr>
              <w:t>近</w:t>
            </w:r>
            <w:r>
              <w:rPr>
                <w:rFonts w:ascii="Times New Roman" w:hAnsi="Times New Roman"/>
                <w:kern w:val="0"/>
                <w:szCs w:val="21"/>
              </w:rPr>
              <w:t>2</w:t>
            </w:r>
            <w:r>
              <w:rPr>
                <w:rFonts w:ascii="Times New Roman" w:hAnsi="宋体"/>
                <w:kern w:val="0"/>
                <w:szCs w:val="21"/>
              </w:rPr>
              <w:t>年学校及校内职能部门、院系（</w:t>
            </w:r>
            <w:r>
              <w:rPr>
                <w:rFonts w:hint="eastAsia" w:ascii="Times New Roman" w:hAnsi="宋体"/>
                <w:kern w:val="0"/>
                <w:szCs w:val="21"/>
              </w:rPr>
              <w:t>部</w:t>
            </w:r>
            <w:r>
              <w:rPr>
                <w:rFonts w:ascii="Times New Roman" w:hAnsi="宋体"/>
                <w:kern w:val="0"/>
                <w:szCs w:val="21"/>
              </w:rPr>
              <w:t>）的年度自我诊改报告；</w:t>
            </w:r>
          </w:p>
          <w:p>
            <w:pPr>
              <w:rPr>
                <w:rFonts w:ascii="Times New Roman" w:hAnsi="Times New Roman"/>
                <w:szCs w:val="21"/>
              </w:rPr>
            </w:pPr>
            <w:r>
              <w:rPr>
                <w:rFonts w:hint="eastAsia" w:ascii="Times New Roman" w:hAnsi="Times New Roman"/>
                <w:szCs w:val="21"/>
              </w:rPr>
              <w:t>2、近二年学院人才培养质量报告。</w:t>
            </w:r>
          </w:p>
        </w:tc>
        <w:tc>
          <w:tcPr>
            <w:tcW w:w="1096" w:type="dxa"/>
            <w:vAlign w:val="center"/>
          </w:tcPr>
          <w:p>
            <w:pPr>
              <w:jc w:val="center"/>
              <w:rPr>
                <w:rFonts w:hAnsi="宋体"/>
                <w:szCs w:val="21"/>
              </w:rPr>
            </w:pPr>
            <w:r>
              <w:rPr>
                <w:rFonts w:hint="eastAsia" w:hAnsi="宋体"/>
                <w:szCs w:val="21"/>
              </w:rPr>
              <w:t>质控中心</w:t>
            </w:r>
          </w:p>
        </w:tc>
        <w:tc>
          <w:tcPr>
            <w:tcW w:w="1388" w:type="dxa"/>
            <w:vAlign w:val="center"/>
          </w:tcPr>
          <w:p>
            <w:pPr>
              <w:jc w:val="center"/>
              <w:rPr>
                <w:rFonts w:hint="eastAsia" w:hAnsi="宋体"/>
                <w:szCs w:val="21"/>
              </w:rPr>
            </w:pPr>
            <w:r>
              <w:rPr>
                <w:rFonts w:hint="eastAsia" w:hAnsi="宋体"/>
                <w:szCs w:val="21"/>
              </w:rPr>
              <w:t>各部门</w:t>
            </w:r>
          </w:p>
          <w:p>
            <w:pPr>
              <w:jc w:val="center"/>
              <w:rPr>
                <w:rFonts w:hint="eastAsia" w:hAnsi="宋体"/>
                <w:szCs w:val="21"/>
              </w:rPr>
            </w:pPr>
            <w:r>
              <w:rPr>
                <w:rFonts w:hint="eastAsia" w:hAnsi="宋体"/>
                <w:szCs w:val="21"/>
              </w:rPr>
              <w:t>各院系（部）</w:t>
            </w:r>
          </w:p>
          <w:p>
            <w:pPr>
              <w:jc w:val="center"/>
              <w:rPr>
                <w:rFonts w:hAnsi="宋体"/>
                <w:szCs w:val="21"/>
              </w:rPr>
            </w:pPr>
            <w:r>
              <w:rPr>
                <w:rFonts w:hint="eastAsia" w:hAnsi="宋体"/>
                <w:szCs w:val="21"/>
              </w:rPr>
              <w:t>教务处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7" w:hRule="atLeast"/>
          <w:jc w:val="center"/>
        </w:trPr>
        <w:tc>
          <w:tcPr>
            <w:tcW w:w="1004" w:type="dxa"/>
            <w:vMerge w:val="continue"/>
            <w:shd w:val="clear" w:color="auto" w:fill="auto"/>
            <w:vAlign w:val="center"/>
          </w:tcPr>
          <w:p>
            <w:pPr>
              <w:jc w:val="center"/>
              <w:rPr>
                <w:rFonts w:ascii="Times New Roman" w:hAnsi="Times New Roman"/>
                <w:szCs w:val="21"/>
              </w:rPr>
            </w:pPr>
          </w:p>
        </w:tc>
        <w:tc>
          <w:tcPr>
            <w:tcW w:w="724" w:type="dxa"/>
            <w:shd w:val="clear" w:color="auto" w:fill="auto"/>
            <w:vAlign w:val="center"/>
          </w:tcPr>
          <w:p>
            <w:pPr>
              <w:jc w:val="center"/>
              <w:rPr>
                <w:rFonts w:ascii="Times New Roman" w:hAnsi="Times New Roman"/>
                <w:szCs w:val="21"/>
              </w:rPr>
            </w:pPr>
            <w:r>
              <w:rPr>
                <w:rFonts w:ascii="Times New Roman" w:hAnsi="Times New Roman"/>
                <w:szCs w:val="21"/>
              </w:rPr>
              <w:t>5.4</w:t>
            </w:r>
            <w:r>
              <w:rPr>
                <w:rFonts w:ascii="Times New Roman" w:hAnsi="宋体"/>
                <w:szCs w:val="21"/>
              </w:rPr>
              <w:t>体系特色</w:t>
            </w:r>
          </w:p>
        </w:tc>
        <w:tc>
          <w:tcPr>
            <w:tcW w:w="897" w:type="dxa"/>
            <w:shd w:val="clear" w:color="auto" w:fill="auto"/>
            <w:vAlign w:val="center"/>
          </w:tcPr>
          <w:p>
            <w:pPr>
              <w:jc w:val="center"/>
              <w:rPr>
                <w:rFonts w:ascii="Times New Roman" w:hAnsi="Times New Roman"/>
                <w:szCs w:val="21"/>
              </w:rPr>
            </w:pPr>
            <w:r>
              <w:rPr>
                <w:rFonts w:ascii="Times New Roman" w:hAnsi="宋体"/>
                <w:szCs w:val="21"/>
              </w:rPr>
              <w:t>学校质量保证体系特色</w:t>
            </w:r>
          </w:p>
        </w:tc>
        <w:tc>
          <w:tcPr>
            <w:tcW w:w="4650" w:type="dxa"/>
            <w:shd w:val="clear" w:color="auto" w:fill="auto"/>
            <w:vAlign w:val="center"/>
          </w:tcPr>
          <w:p>
            <w:pPr>
              <w:rPr>
                <w:rFonts w:ascii="Times New Roman" w:hAnsi="Times New Roman"/>
                <w:szCs w:val="21"/>
              </w:rPr>
            </w:pPr>
            <w:r>
              <w:rPr>
                <w:rFonts w:ascii="Times New Roman" w:hAnsi="Times New Roman"/>
                <w:szCs w:val="21"/>
              </w:rPr>
              <w:fldChar w:fldCharType="begin"/>
            </w:r>
            <w:r>
              <w:rPr>
                <w:rFonts w:ascii="Times New Roman" w:hAnsi="Times New Roman"/>
                <w:szCs w:val="21"/>
              </w:rPr>
              <w:instrText xml:space="preserve"> = 1 \* GB3 </w:instrText>
            </w:r>
            <w:r>
              <w:rPr>
                <w:rFonts w:ascii="Times New Roman" w:hAnsi="Times New Roman"/>
                <w:szCs w:val="21"/>
              </w:rPr>
              <w:fldChar w:fldCharType="separate"/>
            </w:r>
            <w:r>
              <w:rPr>
                <w:rFonts w:ascii="宋体" w:hAnsi="宋体"/>
                <w:szCs w:val="21"/>
              </w:rPr>
              <w:t>①</w:t>
            </w:r>
            <w:r>
              <w:rPr>
                <w:rFonts w:ascii="Times New Roman" w:hAnsi="Times New Roman"/>
                <w:szCs w:val="21"/>
              </w:rPr>
              <w:fldChar w:fldCharType="end"/>
            </w:r>
            <w:r>
              <w:rPr>
                <w:rFonts w:ascii="Times New Roman" w:hAnsi="宋体"/>
                <w:szCs w:val="21"/>
              </w:rPr>
              <w:t>学校自身质量保证体系形成一定特色，应用效果好，并能发挥辐射与影响作用。</w:t>
            </w:r>
          </w:p>
        </w:tc>
        <w:tc>
          <w:tcPr>
            <w:tcW w:w="5103" w:type="dxa"/>
            <w:vAlign w:val="center"/>
          </w:tcPr>
          <w:p>
            <w:pPr>
              <w:rPr>
                <w:rFonts w:hint="eastAsia" w:ascii="Times New Roman" w:hAnsi="Times New Roman"/>
                <w:szCs w:val="21"/>
              </w:rPr>
            </w:pPr>
            <w:r>
              <w:rPr>
                <w:rFonts w:hint="eastAsia" w:ascii="Times New Roman" w:hAnsi="Times New Roman"/>
                <w:szCs w:val="21"/>
              </w:rPr>
              <w:t>1、妈祖文化特色项目报告；</w:t>
            </w:r>
          </w:p>
          <w:p>
            <w:pPr>
              <w:rPr>
                <w:rFonts w:hint="eastAsia" w:ascii="Times New Roman" w:hAnsi="Times New Roman"/>
                <w:szCs w:val="21"/>
              </w:rPr>
            </w:pPr>
            <w:r>
              <w:rPr>
                <w:rFonts w:hint="eastAsia" w:ascii="Times New Roman" w:hAnsi="Times New Roman"/>
                <w:szCs w:val="21"/>
              </w:rPr>
              <w:t>2、</w:t>
            </w:r>
            <w:r>
              <w:rPr>
                <w:rFonts w:ascii="Times New Roman" w:hAnsi="Times New Roman"/>
                <w:szCs w:val="21"/>
              </w:rPr>
              <w:t>建设“八个一”工程 推进妈祖文化“四进”校园相关资料；</w:t>
            </w:r>
            <w:r>
              <w:rPr>
                <w:rFonts w:hint="eastAsia" w:ascii="Times New Roman" w:hAnsi="Times New Roman"/>
                <w:szCs w:val="21"/>
              </w:rPr>
              <w:t xml:space="preserve"> </w:t>
            </w:r>
          </w:p>
          <w:p>
            <w:pPr>
              <w:rPr>
                <w:rFonts w:hint="eastAsia" w:ascii="Times New Roman" w:hAnsi="Times New Roman"/>
                <w:szCs w:val="21"/>
              </w:rPr>
            </w:pPr>
            <w:r>
              <w:rPr>
                <w:rFonts w:hint="eastAsia" w:ascii="Times New Roman" w:hAnsi="Times New Roman"/>
                <w:szCs w:val="21"/>
              </w:rPr>
              <w:t xml:space="preserve">3、职教集团化办学资料； </w:t>
            </w:r>
          </w:p>
          <w:p>
            <w:pPr>
              <w:rPr>
                <w:rFonts w:hint="eastAsia" w:ascii="Times New Roman" w:hAnsi="Times New Roman"/>
                <w:szCs w:val="21"/>
              </w:rPr>
            </w:pPr>
            <w:r>
              <w:rPr>
                <w:rFonts w:hint="eastAsia" w:ascii="Times New Roman" w:hAnsi="Times New Roman"/>
                <w:szCs w:val="21"/>
              </w:rPr>
              <w:t>4、英才计划、现代学徒制（二元制试点）等建设项目资料；</w:t>
            </w:r>
          </w:p>
          <w:p>
            <w:pPr>
              <w:rPr>
                <w:rFonts w:ascii="Times New Roman" w:hAnsi="Times New Roman"/>
                <w:szCs w:val="21"/>
              </w:rPr>
            </w:pPr>
            <w:r>
              <w:rPr>
                <w:rFonts w:hint="eastAsia" w:ascii="Times New Roman" w:hAnsi="Times New Roman"/>
                <w:szCs w:val="21"/>
              </w:rPr>
              <w:t>5、学院开展国际交流情况，以及社会主流媒体、报纸对学院的报道资料。</w:t>
            </w:r>
          </w:p>
        </w:tc>
        <w:tc>
          <w:tcPr>
            <w:tcW w:w="1096" w:type="dxa"/>
            <w:vAlign w:val="center"/>
          </w:tcPr>
          <w:p>
            <w:pPr>
              <w:jc w:val="center"/>
              <w:rPr>
                <w:rFonts w:hAnsi="宋体"/>
                <w:szCs w:val="21"/>
              </w:rPr>
            </w:pPr>
            <w:r>
              <w:rPr>
                <w:rFonts w:hint="eastAsia" w:hAnsi="宋体"/>
                <w:szCs w:val="21"/>
              </w:rPr>
              <w:t>质控中心</w:t>
            </w:r>
          </w:p>
        </w:tc>
        <w:tc>
          <w:tcPr>
            <w:tcW w:w="1388" w:type="dxa"/>
            <w:vAlign w:val="center"/>
          </w:tcPr>
          <w:p>
            <w:pPr>
              <w:jc w:val="center"/>
              <w:rPr>
                <w:rFonts w:hint="eastAsia" w:hAnsi="宋体"/>
                <w:szCs w:val="21"/>
              </w:rPr>
            </w:pPr>
            <w:r>
              <w:rPr>
                <w:rFonts w:hint="eastAsia" w:hAnsi="宋体"/>
                <w:szCs w:val="21"/>
              </w:rPr>
              <w:t>团委</w:t>
            </w:r>
          </w:p>
          <w:p>
            <w:pPr>
              <w:jc w:val="center"/>
              <w:rPr>
                <w:rFonts w:hint="eastAsia" w:hAnsi="宋体"/>
                <w:szCs w:val="21"/>
              </w:rPr>
            </w:pPr>
            <w:r>
              <w:rPr>
                <w:rFonts w:hint="eastAsia" w:hAnsi="宋体"/>
                <w:szCs w:val="21"/>
              </w:rPr>
              <w:t>上塘学院</w:t>
            </w:r>
          </w:p>
          <w:p>
            <w:pPr>
              <w:jc w:val="center"/>
              <w:rPr>
                <w:rFonts w:hint="eastAsia" w:hAnsi="宋体"/>
                <w:szCs w:val="21"/>
              </w:rPr>
            </w:pPr>
            <w:r>
              <w:rPr>
                <w:rFonts w:hint="eastAsia" w:hAnsi="宋体"/>
                <w:szCs w:val="21"/>
              </w:rPr>
              <w:t>工商管理系</w:t>
            </w:r>
          </w:p>
          <w:p>
            <w:pPr>
              <w:jc w:val="center"/>
              <w:rPr>
                <w:rFonts w:hint="eastAsia" w:hAnsi="宋体"/>
                <w:szCs w:val="21"/>
              </w:rPr>
            </w:pPr>
            <w:r>
              <w:rPr>
                <w:rFonts w:hint="eastAsia" w:hAnsi="宋体"/>
                <w:szCs w:val="21"/>
              </w:rPr>
              <w:t>化学工程系</w:t>
            </w:r>
          </w:p>
          <w:p>
            <w:pPr>
              <w:jc w:val="center"/>
              <w:rPr>
                <w:rFonts w:hint="eastAsia" w:hAnsi="宋体"/>
                <w:szCs w:val="21"/>
              </w:rPr>
            </w:pPr>
            <w:r>
              <w:rPr>
                <w:rFonts w:hint="eastAsia" w:hAnsi="宋体"/>
                <w:szCs w:val="21"/>
              </w:rPr>
              <w:t>招就处</w:t>
            </w:r>
          </w:p>
          <w:p>
            <w:pPr>
              <w:jc w:val="center"/>
              <w:rPr>
                <w:rFonts w:hAnsi="宋体"/>
                <w:szCs w:val="21"/>
              </w:rPr>
            </w:pPr>
            <w:r>
              <w:rPr>
                <w:rFonts w:hint="eastAsia" w:hAnsi="宋体"/>
                <w:szCs w:val="21"/>
              </w:rPr>
              <w:t>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3" w:hRule="atLeast"/>
          <w:jc w:val="center"/>
        </w:trPr>
        <w:tc>
          <w:tcPr>
            <w:tcW w:w="1004" w:type="dxa"/>
            <w:vMerge w:val="restart"/>
            <w:shd w:val="clear" w:color="auto" w:fill="auto"/>
            <w:vAlign w:val="center"/>
          </w:tcPr>
          <w:p>
            <w:pPr>
              <w:jc w:val="center"/>
              <w:rPr>
                <w:rFonts w:ascii="Times New Roman" w:hAnsi="Times New Roman"/>
                <w:szCs w:val="21"/>
              </w:rPr>
            </w:pPr>
            <w:r>
              <w:rPr>
                <w:rFonts w:hint="eastAsia" w:ascii="Times New Roman" w:hAnsi="Times New Roman"/>
                <w:b/>
                <w:sz w:val="24"/>
                <w:szCs w:val="24"/>
              </w:rPr>
              <w:t>6学院</w:t>
            </w:r>
            <w:r>
              <w:rPr>
                <w:rFonts w:hint="eastAsia" w:ascii="Times New Roman" w:hAnsi="Times New Roman"/>
                <w:b/>
                <w:sz w:val="24"/>
              </w:rPr>
              <w:t>提交材料（负责部门：质量监控中心）</w:t>
            </w:r>
          </w:p>
        </w:tc>
        <w:tc>
          <w:tcPr>
            <w:tcW w:w="724" w:type="dxa"/>
            <w:shd w:val="clear" w:color="auto" w:fill="auto"/>
            <w:vAlign w:val="center"/>
          </w:tcPr>
          <w:p>
            <w:pPr>
              <w:jc w:val="center"/>
              <w:rPr>
                <w:rFonts w:ascii="Times New Roman" w:hAnsi="宋体"/>
                <w:szCs w:val="21"/>
              </w:rPr>
            </w:pPr>
            <w:r>
              <w:rPr>
                <w:rFonts w:hint="eastAsia" w:ascii="Times New Roman" w:hAnsi="宋体"/>
                <w:szCs w:val="21"/>
              </w:rPr>
              <w:t>6.1</w:t>
            </w:r>
          </w:p>
        </w:tc>
        <w:tc>
          <w:tcPr>
            <w:tcW w:w="10650" w:type="dxa"/>
            <w:gridSpan w:val="3"/>
            <w:vAlign w:val="center"/>
          </w:tcPr>
          <w:p>
            <w:pPr>
              <w:rPr>
                <w:rFonts w:hint="eastAsia" w:ascii="Times New Roman" w:hAnsi="宋体"/>
                <w:szCs w:val="21"/>
              </w:rPr>
            </w:pPr>
            <w:r>
              <w:rPr>
                <w:rFonts w:hint="eastAsia" w:ascii="Times New Roman" w:hAnsi="宋体"/>
                <w:szCs w:val="21"/>
              </w:rPr>
              <w:t>《学院内部质量保证体系诊断与改进工作实施细则》。</w:t>
            </w:r>
          </w:p>
        </w:tc>
        <w:tc>
          <w:tcPr>
            <w:tcW w:w="1096" w:type="dxa"/>
            <w:vAlign w:val="center"/>
          </w:tcPr>
          <w:p>
            <w:pPr>
              <w:jc w:val="center"/>
              <w:rPr>
                <w:rFonts w:hint="eastAsia" w:ascii="Times New Roman" w:hAnsi="宋体"/>
                <w:szCs w:val="21"/>
              </w:rPr>
            </w:pPr>
            <w:r>
              <w:rPr>
                <w:rFonts w:hint="eastAsia" w:hAnsi="宋体"/>
                <w:szCs w:val="21"/>
              </w:rPr>
              <w:t>质量监控中心</w:t>
            </w:r>
          </w:p>
        </w:tc>
        <w:tc>
          <w:tcPr>
            <w:tcW w:w="1388" w:type="dxa"/>
            <w:vAlign w:val="center"/>
          </w:tcPr>
          <w:p>
            <w:pPr>
              <w:jc w:val="center"/>
              <w:rPr>
                <w:rFonts w:hint="eastAsia" w:ascii="Times New Roman"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1" w:hRule="atLeast"/>
          <w:jc w:val="center"/>
        </w:trPr>
        <w:tc>
          <w:tcPr>
            <w:tcW w:w="1004" w:type="dxa"/>
            <w:vMerge w:val="continue"/>
            <w:shd w:val="clear" w:color="auto" w:fill="auto"/>
            <w:vAlign w:val="center"/>
          </w:tcPr>
          <w:p>
            <w:pPr>
              <w:jc w:val="center"/>
              <w:rPr>
                <w:rFonts w:hint="eastAsia" w:ascii="Times New Roman" w:hAnsi="Times New Roman"/>
                <w:b/>
                <w:sz w:val="24"/>
              </w:rPr>
            </w:pPr>
          </w:p>
        </w:tc>
        <w:tc>
          <w:tcPr>
            <w:tcW w:w="724" w:type="dxa"/>
            <w:shd w:val="clear" w:color="auto" w:fill="auto"/>
            <w:vAlign w:val="center"/>
          </w:tcPr>
          <w:p>
            <w:pPr>
              <w:jc w:val="center"/>
              <w:rPr>
                <w:rFonts w:hint="eastAsia" w:ascii="Times New Roman" w:hAnsi="宋体"/>
                <w:szCs w:val="21"/>
              </w:rPr>
            </w:pPr>
            <w:r>
              <w:rPr>
                <w:rFonts w:hint="eastAsia" w:ascii="Times New Roman" w:hAnsi="宋体"/>
                <w:szCs w:val="21"/>
              </w:rPr>
              <w:t>6.2</w:t>
            </w:r>
          </w:p>
        </w:tc>
        <w:tc>
          <w:tcPr>
            <w:tcW w:w="10650" w:type="dxa"/>
            <w:gridSpan w:val="3"/>
            <w:vAlign w:val="center"/>
          </w:tcPr>
          <w:p>
            <w:pPr>
              <w:rPr>
                <w:rFonts w:hint="eastAsia" w:ascii="Times New Roman" w:hAnsi="宋体"/>
                <w:szCs w:val="21"/>
              </w:rPr>
            </w:pPr>
            <w:r>
              <w:rPr>
                <w:rFonts w:hint="eastAsia" w:ascii="Times New Roman" w:hAnsi="宋体"/>
                <w:szCs w:val="21"/>
              </w:rPr>
              <w:t>《学院内部质量保证体系自我诊断与改进工作报告》。</w:t>
            </w:r>
          </w:p>
        </w:tc>
        <w:tc>
          <w:tcPr>
            <w:tcW w:w="1096" w:type="dxa"/>
            <w:vAlign w:val="center"/>
          </w:tcPr>
          <w:p>
            <w:pPr>
              <w:jc w:val="center"/>
              <w:rPr>
                <w:rFonts w:hint="eastAsia" w:hAnsi="宋体"/>
                <w:szCs w:val="21"/>
              </w:rPr>
            </w:pPr>
            <w:r>
              <w:rPr>
                <w:rFonts w:hint="eastAsia" w:ascii="Times New Roman" w:hAnsi="宋体"/>
                <w:szCs w:val="21"/>
              </w:rPr>
              <w:t>质量监控中心</w:t>
            </w:r>
          </w:p>
        </w:tc>
        <w:tc>
          <w:tcPr>
            <w:tcW w:w="1388" w:type="dxa"/>
            <w:vAlign w:val="center"/>
          </w:tcPr>
          <w:p>
            <w:pPr>
              <w:jc w:val="center"/>
              <w:rPr>
                <w:rFonts w:hint="eastAsia" w:hAnsi="宋体"/>
                <w:szCs w:val="21"/>
              </w:rPr>
            </w:pPr>
            <w:r>
              <w:rPr>
                <w:rFonts w:hint="eastAsia" w:hAnsi="宋体"/>
                <w:szCs w:val="21"/>
              </w:rPr>
              <w:t>各职能部门院系（部）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0" w:hRule="atLeast"/>
          <w:jc w:val="center"/>
        </w:trPr>
        <w:tc>
          <w:tcPr>
            <w:tcW w:w="1004" w:type="dxa"/>
            <w:vMerge w:val="continue"/>
            <w:shd w:val="clear" w:color="auto" w:fill="auto"/>
            <w:vAlign w:val="center"/>
          </w:tcPr>
          <w:p>
            <w:pPr>
              <w:jc w:val="center"/>
              <w:rPr>
                <w:rFonts w:hint="eastAsia" w:ascii="Times New Roman" w:hAnsi="Times New Roman"/>
                <w:b/>
                <w:sz w:val="24"/>
              </w:rPr>
            </w:pPr>
          </w:p>
        </w:tc>
        <w:tc>
          <w:tcPr>
            <w:tcW w:w="724" w:type="dxa"/>
            <w:shd w:val="clear" w:color="auto" w:fill="auto"/>
            <w:vAlign w:val="center"/>
          </w:tcPr>
          <w:p>
            <w:pPr>
              <w:jc w:val="center"/>
              <w:rPr>
                <w:rFonts w:hint="eastAsia" w:ascii="Times New Roman" w:hAnsi="宋体"/>
                <w:szCs w:val="21"/>
              </w:rPr>
            </w:pPr>
            <w:r>
              <w:rPr>
                <w:rFonts w:hint="eastAsia" w:ascii="Times New Roman" w:hAnsi="宋体"/>
                <w:szCs w:val="21"/>
              </w:rPr>
              <w:t>6.3</w:t>
            </w:r>
          </w:p>
        </w:tc>
        <w:tc>
          <w:tcPr>
            <w:tcW w:w="10650" w:type="dxa"/>
            <w:gridSpan w:val="3"/>
            <w:vAlign w:val="center"/>
          </w:tcPr>
          <w:p>
            <w:pPr>
              <w:rPr>
                <w:rFonts w:hint="eastAsia" w:ascii="Times New Roman" w:hAnsi="宋体"/>
                <w:szCs w:val="21"/>
              </w:rPr>
            </w:pPr>
            <w:r>
              <w:rPr>
                <w:rFonts w:hint="eastAsia" w:ascii="Times New Roman" w:hAnsi="宋体"/>
                <w:szCs w:val="21"/>
              </w:rPr>
              <w:t>近2年学校的《人才培养质量年度报告》。</w:t>
            </w:r>
          </w:p>
        </w:tc>
        <w:tc>
          <w:tcPr>
            <w:tcW w:w="1096" w:type="dxa"/>
            <w:vAlign w:val="center"/>
          </w:tcPr>
          <w:p>
            <w:pPr>
              <w:jc w:val="center"/>
              <w:rPr>
                <w:rFonts w:hint="eastAsia" w:hAnsi="宋体"/>
                <w:szCs w:val="21"/>
              </w:rPr>
            </w:pPr>
            <w:r>
              <w:rPr>
                <w:rFonts w:hint="eastAsia" w:ascii="Times New Roman" w:hAnsi="宋体"/>
                <w:szCs w:val="21"/>
              </w:rPr>
              <w:t>教务处</w:t>
            </w:r>
          </w:p>
        </w:tc>
        <w:tc>
          <w:tcPr>
            <w:tcW w:w="1388" w:type="dxa"/>
            <w:vAlign w:val="center"/>
          </w:tcPr>
          <w:p>
            <w:pPr>
              <w:jc w:val="center"/>
              <w:rPr>
                <w:rFonts w:hint="eastAsia" w:ascii="Times New Roman" w:hAnsi="宋体"/>
                <w:szCs w:val="21"/>
              </w:rPr>
            </w:pPr>
            <w:r>
              <w:rPr>
                <w:rFonts w:hint="eastAsia" w:hAnsi="宋体"/>
                <w:szCs w:val="21"/>
              </w:rPr>
              <w:t>各职能部门院系（部）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5" w:hRule="atLeast"/>
          <w:jc w:val="center"/>
        </w:trPr>
        <w:tc>
          <w:tcPr>
            <w:tcW w:w="1004" w:type="dxa"/>
            <w:vMerge w:val="continue"/>
            <w:shd w:val="clear" w:color="auto" w:fill="auto"/>
            <w:vAlign w:val="center"/>
          </w:tcPr>
          <w:p>
            <w:pPr>
              <w:jc w:val="center"/>
              <w:rPr>
                <w:rFonts w:hint="eastAsia" w:ascii="Times New Roman" w:hAnsi="Times New Roman"/>
                <w:b/>
                <w:sz w:val="24"/>
              </w:rPr>
            </w:pPr>
          </w:p>
        </w:tc>
        <w:tc>
          <w:tcPr>
            <w:tcW w:w="724" w:type="dxa"/>
            <w:shd w:val="clear" w:color="auto" w:fill="auto"/>
            <w:vAlign w:val="center"/>
          </w:tcPr>
          <w:p>
            <w:pPr>
              <w:jc w:val="center"/>
              <w:rPr>
                <w:rFonts w:hint="eastAsia" w:ascii="Times New Roman" w:hAnsi="宋体"/>
                <w:szCs w:val="21"/>
              </w:rPr>
            </w:pPr>
            <w:r>
              <w:rPr>
                <w:rFonts w:hint="eastAsia" w:ascii="Times New Roman" w:hAnsi="宋体"/>
                <w:szCs w:val="21"/>
              </w:rPr>
              <w:t>6.4</w:t>
            </w:r>
          </w:p>
        </w:tc>
        <w:tc>
          <w:tcPr>
            <w:tcW w:w="10650" w:type="dxa"/>
            <w:gridSpan w:val="3"/>
            <w:vAlign w:val="center"/>
          </w:tcPr>
          <w:p>
            <w:pPr>
              <w:rPr>
                <w:rFonts w:hint="eastAsia" w:ascii="Times New Roman" w:hAnsi="宋体"/>
                <w:szCs w:val="21"/>
              </w:rPr>
            </w:pPr>
            <w:r>
              <w:rPr>
                <w:rFonts w:hint="eastAsia" w:ascii="Times New Roman" w:hAnsi="宋体"/>
                <w:szCs w:val="21"/>
              </w:rPr>
              <w:t>近2年学校的《人才培养工作状态数据分析报告》。</w:t>
            </w:r>
          </w:p>
        </w:tc>
        <w:tc>
          <w:tcPr>
            <w:tcW w:w="1096" w:type="dxa"/>
            <w:vAlign w:val="center"/>
          </w:tcPr>
          <w:p>
            <w:pPr>
              <w:jc w:val="center"/>
              <w:rPr>
                <w:rFonts w:hint="eastAsia" w:hAnsi="宋体"/>
                <w:szCs w:val="21"/>
              </w:rPr>
            </w:pPr>
            <w:r>
              <w:rPr>
                <w:rFonts w:hint="eastAsia" w:ascii="Times New Roman" w:hAnsi="宋体"/>
                <w:szCs w:val="21"/>
              </w:rPr>
              <w:t>教务处</w:t>
            </w:r>
          </w:p>
        </w:tc>
        <w:tc>
          <w:tcPr>
            <w:tcW w:w="1388" w:type="dxa"/>
            <w:vAlign w:val="center"/>
          </w:tcPr>
          <w:p>
            <w:pPr>
              <w:jc w:val="center"/>
              <w:rPr>
                <w:rFonts w:hint="eastAsia" w:ascii="Times New Roman" w:hAnsi="宋体"/>
                <w:szCs w:val="21"/>
              </w:rPr>
            </w:pPr>
            <w:r>
              <w:rPr>
                <w:rFonts w:hint="eastAsia" w:hAnsi="宋体"/>
                <w:szCs w:val="21"/>
              </w:rPr>
              <w:t>各职能部门院系（部）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3" w:hRule="atLeast"/>
          <w:jc w:val="center"/>
        </w:trPr>
        <w:tc>
          <w:tcPr>
            <w:tcW w:w="1004" w:type="dxa"/>
            <w:vMerge w:val="continue"/>
            <w:shd w:val="clear" w:color="auto" w:fill="auto"/>
            <w:vAlign w:val="center"/>
          </w:tcPr>
          <w:p>
            <w:pPr>
              <w:jc w:val="center"/>
              <w:rPr>
                <w:rFonts w:hint="eastAsia" w:ascii="Times New Roman" w:hAnsi="Times New Roman"/>
                <w:b/>
                <w:sz w:val="24"/>
              </w:rPr>
            </w:pPr>
          </w:p>
        </w:tc>
        <w:tc>
          <w:tcPr>
            <w:tcW w:w="724" w:type="dxa"/>
            <w:shd w:val="clear" w:color="auto" w:fill="auto"/>
            <w:vAlign w:val="center"/>
          </w:tcPr>
          <w:p>
            <w:pPr>
              <w:jc w:val="center"/>
              <w:rPr>
                <w:rFonts w:hint="eastAsia" w:ascii="Times New Roman" w:hAnsi="宋体"/>
                <w:szCs w:val="21"/>
              </w:rPr>
            </w:pPr>
            <w:r>
              <w:rPr>
                <w:rFonts w:hint="eastAsia" w:ascii="Times New Roman" w:hAnsi="宋体"/>
                <w:szCs w:val="21"/>
              </w:rPr>
              <w:t>6.5</w:t>
            </w:r>
          </w:p>
        </w:tc>
        <w:tc>
          <w:tcPr>
            <w:tcW w:w="10650" w:type="dxa"/>
            <w:gridSpan w:val="3"/>
            <w:vAlign w:val="center"/>
          </w:tcPr>
          <w:p>
            <w:pPr>
              <w:rPr>
                <w:rFonts w:hint="eastAsia" w:ascii="Times New Roman" w:hAnsi="宋体"/>
                <w:szCs w:val="21"/>
              </w:rPr>
            </w:pPr>
            <w:r>
              <w:rPr>
                <w:rFonts w:hint="eastAsia" w:ascii="Times New Roman" w:hAnsi="宋体"/>
                <w:szCs w:val="21"/>
              </w:rPr>
              <w:t>近2年学校及校内职能部门、院（系）的年度自我诊改报告。</w:t>
            </w:r>
          </w:p>
        </w:tc>
        <w:tc>
          <w:tcPr>
            <w:tcW w:w="1096" w:type="dxa"/>
            <w:vAlign w:val="center"/>
          </w:tcPr>
          <w:p>
            <w:pPr>
              <w:jc w:val="center"/>
              <w:rPr>
                <w:rFonts w:hint="eastAsia" w:hAnsi="宋体"/>
                <w:szCs w:val="21"/>
              </w:rPr>
            </w:pPr>
            <w:r>
              <w:rPr>
                <w:rFonts w:hint="eastAsia" w:ascii="Times New Roman" w:hAnsi="宋体"/>
                <w:szCs w:val="21"/>
              </w:rPr>
              <w:t>质量监控中心</w:t>
            </w:r>
          </w:p>
        </w:tc>
        <w:tc>
          <w:tcPr>
            <w:tcW w:w="1388" w:type="dxa"/>
            <w:vAlign w:val="center"/>
          </w:tcPr>
          <w:p>
            <w:pPr>
              <w:jc w:val="center"/>
              <w:rPr>
                <w:rFonts w:hint="eastAsia" w:hAnsi="宋体"/>
                <w:szCs w:val="21"/>
              </w:rPr>
            </w:pPr>
            <w:r>
              <w:rPr>
                <w:rFonts w:hint="eastAsia" w:hAnsi="宋体"/>
                <w:szCs w:val="21"/>
              </w:rPr>
              <w:t>各职能部门院系（部）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4" w:hRule="atLeast"/>
          <w:jc w:val="center"/>
        </w:trPr>
        <w:tc>
          <w:tcPr>
            <w:tcW w:w="1004" w:type="dxa"/>
            <w:vMerge w:val="continue"/>
            <w:shd w:val="clear" w:color="auto" w:fill="auto"/>
            <w:vAlign w:val="center"/>
          </w:tcPr>
          <w:p>
            <w:pPr>
              <w:jc w:val="center"/>
              <w:rPr>
                <w:rFonts w:hint="eastAsia" w:ascii="Times New Roman" w:hAnsi="Times New Roman"/>
                <w:b/>
                <w:sz w:val="24"/>
              </w:rPr>
            </w:pPr>
          </w:p>
        </w:tc>
        <w:tc>
          <w:tcPr>
            <w:tcW w:w="724" w:type="dxa"/>
            <w:shd w:val="clear" w:color="auto" w:fill="auto"/>
            <w:vAlign w:val="center"/>
          </w:tcPr>
          <w:p>
            <w:pPr>
              <w:jc w:val="center"/>
              <w:rPr>
                <w:rFonts w:hint="eastAsia" w:ascii="Times New Roman" w:hAnsi="宋体"/>
                <w:szCs w:val="21"/>
              </w:rPr>
            </w:pPr>
            <w:r>
              <w:rPr>
                <w:rFonts w:hint="eastAsia" w:ascii="Times New Roman" w:hAnsi="宋体"/>
                <w:szCs w:val="21"/>
              </w:rPr>
              <w:t>6.6</w:t>
            </w:r>
          </w:p>
        </w:tc>
        <w:tc>
          <w:tcPr>
            <w:tcW w:w="10650" w:type="dxa"/>
            <w:gridSpan w:val="3"/>
            <w:vAlign w:val="center"/>
          </w:tcPr>
          <w:p>
            <w:pPr>
              <w:rPr>
                <w:rFonts w:hint="eastAsia" w:ascii="Times New Roman" w:hAnsi="宋体"/>
                <w:szCs w:val="21"/>
              </w:rPr>
            </w:pPr>
            <w:r>
              <w:rPr>
                <w:rFonts w:hint="eastAsia" w:ascii="Times New Roman" w:hAnsi="宋体"/>
                <w:szCs w:val="21"/>
              </w:rPr>
              <w:t>学校面向在校生及近3届毕业生开展的学生满意度调查分析报告。</w:t>
            </w:r>
          </w:p>
        </w:tc>
        <w:tc>
          <w:tcPr>
            <w:tcW w:w="1096" w:type="dxa"/>
            <w:vAlign w:val="center"/>
          </w:tcPr>
          <w:p>
            <w:pPr>
              <w:jc w:val="center"/>
              <w:rPr>
                <w:rFonts w:hint="eastAsia" w:ascii="Times New Roman" w:hAnsi="宋体"/>
                <w:szCs w:val="21"/>
              </w:rPr>
            </w:pPr>
            <w:r>
              <w:rPr>
                <w:rFonts w:hint="eastAsia" w:ascii="Times New Roman" w:hAnsi="宋体"/>
                <w:szCs w:val="21"/>
              </w:rPr>
              <w:t>学工处</w:t>
            </w:r>
          </w:p>
          <w:p>
            <w:pPr>
              <w:jc w:val="center"/>
              <w:rPr>
                <w:rFonts w:hint="eastAsia" w:hAnsi="宋体"/>
                <w:szCs w:val="21"/>
              </w:rPr>
            </w:pPr>
            <w:r>
              <w:rPr>
                <w:rFonts w:hint="eastAsia" w:ascii="Times New Roman" w:hAnsi="宋体"/>
                <w:szCs w:val="21"/>
              </w:rPr>
              <w:t>招就处</w:t>
            </w:r>
          </w:p>
        </w:tc>
        <w:tc>
          <w:tcPr>
            <w:tcW w:w="1388" w:type="dxa"/>
            <w:vAlign w:val="center"/>
          </w:tcPr>
          <w:p>
            <w:pPr>
              <w:jc w:val="center"/>
              <w:rPr>
                <w:rFonts w:hint="eastAsia" w:ascii="Times New Roman" w:hAnsi="宋体"/>
                <w:szCs w:val="21"/>
              </w:rPr>
            </w:pPr>
            <w:r>
              <w:rPr>
                <w:rFonts w:hint="eastAsia" w:ascii="Times New Roman" w:hAnsi="宋体"/>
                <w:szCs w:val="21"/>
              </w:rPr>
              <w:t>各院系（部）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4" w:hRule="atLeast"/>
          <w:jc w:val="center"/>
        </w:trPr>
        <w:tc>
          <w:tcPr>
            <w:tcW w:w="1004" w:type="dxa"/>
            <w:vMerge w:val="continue"/>
            <w:shd w:val="clear" w:color="auto" w:fill="auto"/>
            <w:vAlign w:val="center"/>
          </w:tcPr>
          <w:p>
            <w:pPr>
              <w:jc w:val="center"/>
              <w:rPr>
                <w:rFonts w:hint="eastAsia" w:ascii="Times New Roman" w:hAnsi="Times New Roman"/>
                <w:b/>
                <w:sz w:val="24"/>
              </w:rPr>
            </w:pPr>
          </w:p>
        </w:tc>
        <w:tc>
          <w:tcPr>
            <w:tcW w:w="724" w:type="dxa"/>
            <w:shd w:val="clear" w:color="auto" w:fill="auto"/>
            <w:vAlign w:val="center"/>
          </w:tcPr>
          <w:p>
            <w:pPr>
              <w:jc w:val="center"/>
              <w:rPr>
                <w:rFonts w:hint="eastAsia" w:ascii="Times New Roman" w:hAnsi="宋体"/>
                <w:szCs w:val="21"/>
              </w:rPr>
            </w:pPr>
            <w:r>
              <w:rPr>
                <w:rFonts w:hint="eastAsia" w:ascii="Times New Roman" w:hAnsi="宋体"/>
                <w:szCs w:val="21"/>
              </w:rPr>
              <w:t>6.7</w:t>
            </w:r>
          </w:p>
        </w:tc>
        <w:tc>
          <w:tcPr>
            <w:tcW w:w="10650" w:type="dxa"/>
            <w:gridSpan w:val="3"/>
            <w:vAlign w:val="center"/>
          </w:tcPr>
          <w:p>
            <w:pPr>
              <w:rPr>
                <w:rFonts w:hint="eastAsia" w:ascii="Times New Roman" w:hAnsi="宋体"/>
                <w:szCs w:val="21"/>
              </w:rPr>
            </w:pPr>
            <w:r>
              <w:rPr>
                <w:rFonts w:hint="eastAsia" w:ascii="Times New Roman" w:hAnsi="宋体"/>
                <w:szCs w:val="21"/>
              </w:rPr>
              <w:t>学校事业发展规划及其他子规划。</w:t>
            </w:r>
          </w:p>
        </w:tc>
        <w:tc>
          <w:tcPr>
            <w:tcW w:w="1096" w:type="dxa"/>
            <w:vAlign w:val="center"/>
          </w:tcPr>
          <w:p>
            <w:pPr>
              <w:jc w:val="center"/>
              <w:rPr>
                <w:rFonts w:hint="eastAsia" w:hAnsi="宋体"/>
                <w:szCs w:val="21"/>
              </w:rPr>
            </w:pPr>
            <w:r>
              <w:rPr>
                <w:rFonts w:hint="eastAsia" w:ascii="Times New Roman" w:hAnsi="宋体"/>
                <w:szCs w:val="21"/>
              </w:rPr>
              <w:t>办公室</w:t>
            </w:r>
          </w:p>
        </w:tc>
        <w:tc>
          <w:tcPr>
            <w:tcW w:w="1388" w:type="dxa"/>
            <w:vAlign w:val="center"/>
          </w:tcPr>
          <w:p>
            <w:pPr>
              <w:jc w:val="center"/>
              <w:rPr>
                <w:rFonts w:hint="eastAsia" w:ascii="Times New Roman" w:hAnsi="宋体"/>
                <w:szCs w:val="21"/>
              </w:rPr>
            </w:pPr>
            <w:r>
              <w:rPr>
                <w:rFonts w:hint="eastAsia" w:ascii="Times New Roman" w:hAnsi="宋体"/>
                <w:szCs w:val="21"/>
              </w:rPr>
              <w:t>各职能部门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7" w:hRule="atLeast"/>
          <w:jc w:val="center"/>
        </w:trPr>
        <w:tc>
          <w:tcPr>
            <w:tcW w:w="1004" w:type="dxa"/>
            <w:vMerge w:val="continue"/>
            <w:tcBorders>
              <w:bottom w:val="single" w:color="auto" w:sz="4" w:space="0"/>
            </w:tcBorders>
            <w:shd w:val="clear" w:color="auto" w:fill="auto"/>
            <w:vAlign w:val="center"/>
          </w:tcPr>
          <w:p>
            <w:pPr>
              <w:jc w:val="center"/>
              <w:rPr>
                <w:rFonts w:hint="eastAsia" w:ascii="Times New Roman" w:hAnsi="Times New Roman"/>
                <w:b/>
                <w:sz w:val="24"/>
              </w:rPr>
            </w:pPr>
          </w:p>
        </w:tc>
        <w:tc>
          <w:tcPr>
            <w:tcW w:w="724" w:type="dxa"/>
            <w:shd w:val="clear" w:color="auto" w:fill="auto"/>
            <w:vAlign w:val="center"/>
          </w:tcPr>
          <w:p>
            <w:pPr>
              <w:jc w:val="center"/>
              <w:rPr>
                <w:rFonts w:hint="eastAsia" w:ascii="Times New Roman" w:hAnsi="宋体"/>
                <w:szCs w:val="21"/>
              </w:rPr>
            </w:pPr>
            <w:r>
              <w:rPr>
                <w:rFonts w:hint="eastAsia" w:ascii="Times New Roman" w:hAnsi="宋体"/>
                <w:szCs w:val="21"/>
              </w:rPr>
              <w:t>6.8</w:t>
            </w:r>
          </w:p>
        </w:tc>
        <w:tc>
          <w:tcPr>
            <w:tcW w:w="10650" w:type="dxa"/>
            <w:gridSpan w:val="3"/>
            <w:vAlign w:val="center"/>
          </w:tcPr>
          <w:p>
            <w:pPr>
              <w:rPr>
                <w:rFonts w:hint="eastAsia" w:ascii="Times New Roman" w:hAnsi="宋体"/>
                <w:szCs w:val="21"/>
              </w:rPr>
            </w:pPr>
            <w:r>
              <w:rPr>
                <w:rFonts w:hint="eastAsia" w:ascii="Times New Roman" w:hAnsi="宋体"/>
                <w:szCs w:val="21"/>
              </w:rPr>
              <w:t>学校所在地区的区域经济社会事业发展规划。</w:t>
            </w:r>
          </w:p>
        </w:tc>
        <w:tc>
          <w:tcPr>
            <w:tcW w:w="1096" w:type="dxa"/>
            <w:vAlign w:val="center"/>
          </w:tcPr>
          <w:p>
            <w:pPr>
              <w:jc w:val="center"/>
              <w:rPr>
                <w:rFonts w:hint="eastAsia" w:hAnsi="宋体"/>
                <w:szCs w:val="21"/>
              </w:rPr>
            </w:pPr>
            <w:r>
              <w:rPr>
                <w:rFonts w:hint="eastAsia" w:ascii="Times New Roman" w:hAnsi="宋体"/>
                <w:szCs w:val="21"/>
              </w:rPr>
              <w:t>办公室</w:t>
            </w:r>
          </w:p>
        </w:tc>
        <w:tc>
          <w:tcPr>
            <w:tcW w:w="1388" w:type="dxa"/>
            <w:vAlign w:val="center"/>
          </w:tcPr>
          <w:p>
            <w:pPr>
              <w:jc w:val="center"/>
              <w:rPr>
                <w:rFonts w:hint="eastAsia" w:ascii="Times New Roman" w:hAnsi="宋体"/>
                <w:szCs w:val="21"/>
              </w:rPr>
            </w:pPr>
          </w:p>
        </w:tc>
      </w:tr>
    </w:tbl>
    <w:p>
      <w:pPr>
        <w:snapToGrid w:val="0"/>
        <w:spacing w:before="120" w:beforeLines="50"/>
        <w:ind w:firstLine="420" w:firstLineChars="200"/>
        <w:rPr>
          <w:rFonts w:hint="eastAsia" w:ascii="Times New Roman" w:hAnsi="宋体"/>
          <w:szCs w:val="21"/>
        </w:rPr>
      </w:pPr>
      <w:r>
        <w:rPr>
          <w:rFonts w:ascii="Times New Roman" w:hAnsi="宋体"/>
        </w:rPr>
        <w:t>注：</w:t>
      </w:r>
      <w:r>
        <w:rPr>
          <w:rFonts w:ascii="Times New Roman" w:hAnsi="Times New Roman"/>
        </w:rPr>
        <w:t>1</w:t>
      </w:r>
      <w:r>
        <w:rPr>
          <w:rFonts w:ascii="Times New Roman" w:hAnsi="宋体"/>
        </w:rPr>
        <w:t>．本表设</w:t>
      </w:r>
      <w:r>
        <w:rPr>
          <w:rFonts w:ascii="Times New Roman" w:hAnsi="Times New Roman"/>
        </w:rPr>
        <w:t>5</w:t>
      </w:r>
      <w:r>
        <w:rPr>
          <w:rFonts w:ascii="Times New Roman" w:hAnsi="宋体"/>
        </w:rPr>
        <w:t>个诊断项目，</w:t>
      </w:r>
      <w:r>
        <w:rPr>
          <w:rFonts w:ascii="Times New Roman" w:hAnsi="Times New Roman"/>
        </w:rPr>
        <w:t>15</w:t>
      </w:r>
      <w:r>
        <w:rPr>
          <w:rFonts w:ascii="Times New Roman" w:hAnsi="宋体"/>
        </w:rPr>
        <w:t>个诊断要素，</w:t>
      </w:r>
      <w:r>
        <w:rPr>
          <w:rFonts w:ascii="Times New Roman" w:hAnsi="Times New Roman"/>
        </w:rPr>
        <w:t>37</w:t>
      </w:r>
      <w:r>
        <w:rPr>
          <w:rFonts w:ascii="Times New Roman" w:hAnsi="宋体"/>
        </w:rPr>
        <w:t>个诊断点。</w:t>
      </w:r>
      <w:r>
        <w:rPr>
          <w:rFonts w:ascii="Times New Roman" w:hAnsi="Times New Roman"/>
        </w:rPr>
        <w:t>2</w:t>
      </w:r>
      <w:r>
        <w:rPr>
          <w:rFonts w:ascii="Times New Roman" w:hAnsi="宋体"/>
        </w:rPr>
        <w:t>．</w:t>
      </w:r>
      <w:r>
        <w:rPr>
          <w:rFonts w:ascii="Times New Roman" w:hAnsi="Times New Roman"/>
        </w:rPr>
        <w:t>“</w:t>
      </w:r>
      <w:r>
        <w:rPr>
          <w:rFonts w:ascii="Times New Roman" w:hAnsi="宋体"/>
          <w:szCs w:val="21"/>
        </w:rPr>
        <w:t>数据管理平台相应编号</w:t>
      </w:r>
      <w:r>
        <w:rPr>
          <w:rFonts w:ascii="Times New Roman" w:hAnsi="Times New Roman"/>
          <w:szCs w:val="21"/>
        </w:rPr>
        <w:t>”</w:t>
      </w:r>
      <w:r>
        <w:rPr>
          <w:rFonts w:ascii="Times New Roman" w:hAnsi="宋体"/>
          <w:szCs w:val="21"/>
        </w:rPr>
        <w:t>所列的各指标编号，起引导作用，不是规定或标准。</w:t>
      </w:r>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8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Verdana">
    <w:panose1 w:val="020B0604030504040204"/>
    <w:charset w:val="00"/>
    <w:family w:val="swiss"/>
    <w:pitch w:val="default"/>
    <w:sig w:usb0="A10006FF" w:usb1="4000205B" w:usb2="00000010" w:usb3="00000000" w:csb0="2000019F" w:csb1="00000000"/>
  </w:font>
  <w:font w:name="PMingLiUfalt">
    <w:altName w:val="Microsoft JhengHei"/>
    <w:panose1 w:val="00000000000000000000"/>
    <w:charset w:val="88"/>
    <w:family w:val="roman"/>
    <w:pitch w:val="default"/>
    <w:sig w:usb0="00000000" w:usb1="00000000" w:usb2="00000010" w:usb3="00000000" w:csb0="00100000"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EFF" w:usb1="C0007843" w:usb2="00000009" w:usb3="00000000" w:csb0="400001FF" w:csb1="FFFF0000"/>
  </w:font>
  <w:font w:name="Microsoft JhengHei">
    <w:panose1 w:val="020B0604030504040204"/>
    <w:charset w:val="88"/>
    <w:family w:val="auto"/>
    <w:pitch w:val="default"/>
    <w:sig w:usb0="000002A7" w:usb1="28CF4400" w:usb2="00000016" w:usb3="00000000" w:csb0="00100009"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677B71"/>
    <w:multiLevelType w:val="multilevel"/>
    <w:tmpl w:val="65677B71"/>
    <w:lvl w:ilvl="0" w:tentative="0">
      <w:start w:val="5"/>
      <w:numFmt w:val="decimal"/>
      <w:lvlText w:val="（%1）"/>
      <w:lvlJc w:val="left"/>
      <w:pPr>
        <w:ind w:left="1280" w:hanging="720"/>
      </w:pPr>
      <w:rPr>
        <w:rFonts w:hint="default"/>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E6C5F7E"/>
    <w:rsid w:val="1E6C5F7E"/>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2"/>
      <w:lang w:val="en-US" w:eastAsia="zh-CN" w:bidi="ar-SA"/>
    </w:rPr>
  </w:style>
  <w:style w:type="character" w:default="1" w:styleId="4">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sz w:val="18"/>
      <w:szCs w:val="18"/>
    </w:rPr>
  </w:style>
  <w:style w:type="character" w:styleId="5">
    <w:name w:val="page number"/>
    <w:basedOn w:val="4"/>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Office_10.1.0.6135_F1E327BC-269C-435d-A152-05C5408002CA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2017-01-03T07:54:00Z</dcterms:created>
  <dc:creator>LX</dc:creator>
  <cp:lastModifiedBy>LX</cp:lastModifiedBy>
  <dcterms:modified xsi:type="dcterms:W3CDTF">2017-01-03T07:59:05Z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