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B1E" w:rsidRDefault="00C12B1E" w:rsidP="00D45F02">
      <w:pPr>
        <w:widowControl/>
        <w:shd w:val="clear" w:color="auto" w:fill="FFFFFF"/>
        <w:spacing w:line="600" w:lineRule="exact"/>
        <w:jc w:val="center"/>
        <w:rPr>
          <w:rFonts w:asciiTheme="majorEastAsia" w:eastAsiaTheme="majorEastAsia" w:hAnsiTheme="majorEastAsia" w:cs="宋体"/>
          <w:b/>
          <w:color w:val="000000"/>
          <w:kern w:val="0"/>
          <w:sz w:val="44"/>
          <w:szCs w:val="44"/>
        </w:rPr>
      </w:pPr>
    </w:p>
    <w:p w:rsidR="005F3513" w:rsidRDefault="00D45F02" w:rsidP="00D45F02">
      <w:pPr>
        <w:widowControl/>
        <w:shd w:val="clear" w:color="auto" w:fill="FFFFFF"/>
        <w:spacing w:line="600" w:lineRule="exact"/>
        <w:jc w:val="center"/>
        <w:rPr>
          <w:rFonts w:asciiTheme="majorEastAsia" w:eastAsiaTheme="majorEastAsia" w:hAnsiTheme="majorEastAsia" w:cs="宋体"/>
          <w:b/>
          <w:color w:val="000000"/>
          <w:kern w:val="0"/>
          <w:sz w:val="44"/>
          <w:szCs w:val="44"/>
        </w:rPr>
      </w:pPr>
      <w:r w:rsidRPr="005F3513">
        <w:rPr>
          <w:rFonts w:asciiTheme="majorEastAsia" w:eastAsiaTheme="majorEastAsia" w:hAnsiTheme="majorEastAsia" w:cs="宋体" w:hint="eastAsia"/>
          <w:b/>
          <w:color w:val="000000"/>
          <w:kern w:val="0"/>
          <w:sz w:val="44"/>
          <w:szCs w:val="44"/>
        </w:rPr>
        <w:t>关于报送高等职业教育质量年度报告</w:t>
      </w:r>
    </w:p>
    <w:p w:rsidR="00D45F02" w:rsidRPr="005F3513" w:rsidRDefault="00D45F02" w:rsidP="00D45F02">
      <w:pPr>
        <w:widowControl/>
        <w:shd w:val="clear" w:color="auto" w:fill="FFFFFF"/>
        <w:spacing w:line="600" w:lineRule="exact"/>
        <w:jc w:val="center"/>
        <w:rPr>
          <w:rFonts w:asciiTheme="majorEastAsia" w:eastAsiaTheme="majorEastAsia" w:hAnsiTheme="majorEastAsia" w:cs="宋体"/>
          <w:b/>
          <w:color w:val="000000"/>
          <w:kern w:val="0"/>
          <w:sz w:val="44"/>
          <w:szCs w:val="44"/>
        </w:rPr>
      </w:pPr>
      <w:r w:rsidRPr="005F3513">
        <w:rPr>
          <w:rFonts w:asciiTheme="majorEastAsia" w:eastAsiaTheme="majorEastAsia" w:hAnsiTheme="majorEastAsia" w:cs="宋体" w:hint="eastAsia"/>
          <w:b/>
          <w:color w:val="000000"/>
          <w:kern w:val="0"/>
          <w:sz w:val="44"/>
          <w:szCs w:val="44"/>
        </w:rPr>
        <w:t>（2016）的通知</w:t>
      </w:r>
    </w:p>
    <w:p w:rsidR="00D45F02" w:rsidRPr="005F3513" w:rsidRDefault="00D45F02" w:rsidP="005F3513">
      <w:pPr>
        <w:widowControl/>
        <w:shd w:val="clear" w:color="auto" w:fill="FFFFFF"/>
        <w:spacing w:line="600" w:lineRule="exact"/>
        <w:jc w:val="right"/>
        <w:rPr>
          <w:rFonts w:ascii="仿宋_GB2312" w:eastAsia="仿宋_GB2312" w:hAnsi="宋体" w:cs="宋体"/>
          <w:color w:val="000000"/>
          <w:kern w:val="0"/>
          <w:sz w:val="32"/>
          <w:szCs w:val="32"/>
          <w:shd w:val="clear" w:color="auto" w:fill="FFFFFF"/>
        </w:rPr>
      </w:pPr>
      <w:r w:rsidRPr="005F3513">
        <w:rPr>
          <w:rFonts w:ascii="仿宋_GB2312" w:eastAsia="仿宋_GB2312" w:hAnsi="宋体" w:cs="宋体" w:hint="eastAsia"/>
          <w:color w:val="000000"/>
          <w:kern w:val="0"/>
          <w:sz w:val="32"/>
          <w:szCs w:val="32"/>
          <w:shd w:val="clear" w:color="auto" w:fill="FFFFFF"/>
        </w:rPr>
        <w:t>教职成司函〔2015〕138号</w:t>
      </w:r>
    </w:p>
    <w:p w:rsidR="00D45F02" w:rsidRPr="00D45F02" w:rsidRDefault="00D45F02" w:rsidP="00D45F02">
      <w:pPr>
        <w:widowControl/>
        <w:shd w:val="clear" w:color="auto" w:fill="FFFFFF"/>
        <w:autoSpaceDE w:val="0"/>
        <w:spacing w:line="600" w:lineRule="exact"/>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各省、自治区、直辖市教育厅（教委），新疆生产建设兵团教育局：</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根据《国家中长期教育改革和发展规划纲要（2010-2020年）》关于“建立高等学校质量年度报告发布制度”和《国务院关于加快发展现代职业教育的决定》关于“实施职业教育质量年度报告制度”的要求，现就“高等职业教育质量年度报告（2016）”的编制与报送工作通知如下：</w:t>
      </w:r>
    </w:p>
    <w:p w:rsidR="00D45F02" w:rsidRPr="005F3513" w:rsidRDefault="00D45F02" w:rsidP="00D45F02">
      <w:pPr>
        <w:widowControl/>
        <w:shd w:val="clear" w:color="auto" w:fill="FFFFFF"/>
        <w:autoSpaceDE w:val="0"/>
        <w:spacing w:line="600" w:lineRule="exact"/>
        <w:ind w:firstLine="645"/>
        <w:jc w:val="left"/>
        <w:rPr>
          <w:rFonts w:ascii="黑体" w:eastAsia="黑体" w:hAnsi="宋体" w:cs="宋体"/>
          <w:b/>
          <w:color w:val="000000"/>
          <w:kern w:val="0"/>
          <w:sz w:val="32"/>
          <w:szCs w:val="32"/>
        </w:rPr>
      </w:pPr>
      <w:r w:rsidRPr="005F3513">
        <w:rPr>
          <w:rFonts w:ascii="黑体" w:eastAsia="黑体" w:hAnsi="宋体" w:cs="宋体" w:hint="eastAsia"/>
          <w:b/>
          <w:color w:val="000000"/>
          <w:kern w:val="0"/>
          <w:sz w:val="32"/>
          <w:szCs w:val="32"/>
        </w:rPr>
        <w:t>一、报送范围</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各省、自治区、直辖市教育厅（教委）和新疆生产建设兵团教育局，以及各独立设置的高等职业院校（含民办，统称高职院校），必须按要求分别报送“高等职业教育质量年度报告（2016）”（简称《省级年报》和《院校年报》）。</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按照《国务院关于加快发展现代职业教育的决定》提出“发挥企业重要办学主体作用”的要求，鼓励各高职院校尤其是国家示范（骨干）校，主动联系推动一批实际参与人才培养的企业面向社会发布“企业参与高等职业教育人才培养年度报告（2016）”（简称《企业年报》）。</w:t>
      </w:r>
    </w:p>
    <w:p w:rsidR="00D45F02" w:rsidRPr="005F3513" w:rsidRDefault="00D45F02" w:rsidP="00D45F02">
      <w:pPr>
        <w:widowControl/>
        <w:shd w:val="clear" w:color="auto" w:fill="FFFFFF"/>
        <w:autoSpaceDE w:val="0"/>
        <w:spacing w:line="600" w:lineRule="exact"/>
        <w:ind w:firstLine="645"/>
        <w:jc w:val="left"/>
        <w:rPr>
          <w:rFonts w:ascii="黑体" w:eastAsia="黑体" w:hAnsi="宋体" w:cs="宋体"/>
          <w:b/>
          <w:color w:val="000000"/>
          <w:kern w:val="0"/>
          <w:sz w:val="32"/>
          <w:szCs w:val="32"/>
        </w:rPr>
      </w:pPr>
      <w:r w:rsidRPr="005F3513">
        <w:rPr>
          <w:rFonts w:ascii="黑体" w:eastAsia="黑体" w:hAnsi="宋体" w:cs="宋体" w:hint="eastAsia"/>
          <w:b/>
          <w:color w:val="000000"/>
          <w:kern w:val="0"/>
          <w:sz w:val="32"/>
          <w:szCs w:val="32"/>
        </w:rPr>
        <w:t>二、内容要求</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lastRenderedPageBreak/>
        <w:t>《省级年报》和《院校年报》应至少包含：学生发展、教学改革、政策保障、服务贡献、面临挑战等五个部分（标题不限）和“计分卡”“资源表”“服务贡献表”“落实政策表”等四张表格（指标及内涵详见附件）。其中，四张表格除须在报告中展现外，还需以Ex</w:t>
      </w:r>
      <w:r w:rsidRPr="00D45F02">
        <w:rPr>
          <w:rFonts w:ascii="仿宋_GB2312" w:eastAsia="仿宋_GB2312" w:hAnsi="宋体" w:cs="宋体" w:hint="eastAsia"/>
          <w:color w:val="000000"/>
          <w:kern w:val="0"/>
          <w:sz w:val="32"/>
          <w:szCs w:val="32"/>
        </w:rPr>
        <w:t>cel格式随报告一并报送，相应电子表格可以从中国高职高专教育网</w:t>
      </w:r>
      <w:r w:rsidRPr="00D45F02">
        <w:rPr>
          <w:rFonts w:ascii="仿宋_GB2312" w:eastAsia="仿宋_GB2312" w:hAnsi="宋体" w:cs="宋体" w:hint="eastAsia"/>
          <w:color w:val="000000"/>
          <w:spacing w:val="-15"/>
          <w:kern w:val="0"/>
          <w:sz w:val="32"/>
          <w:szCs w:val="32"/>
          <w:shd w:val="clear" w:color="auto" w:fill="FFFFFF"/>
        </w:rPr>
        <w:t>（www.tech.net.cn）下载。</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企业年报》是落实“发挥企业重要办学主体作用”的重要体现，可以按照国务院《决定》关于“规模以上企业要有机构或人员组织实施职工教育培训、对接职业院校，设立学生实习和教师实践岗位”的要求，重点从企业资源投入、参与高职教育教学（做法、成效和问题）等方面进行编制发布。</w:t>
      </w:r>
    </w:p>
    <w:p w:rsidR="00D45F02" w:rsidRPr="005F3513" w:rsidRDefault="00D45F02" w:rsidP="00D45F02">
      <w:pPr>
        <w:widowControl/>
        <w:shd w:val="clear" w:color="auto" w:fill="FFFFFF"/>
        <w:autoSpaceDE w:val="0"/>
        <w:spacing w:line="600" w:lineRule="exact"/>
        <w:ind w:firstLine="645"/>
        <w:jc w:val="left"/>
        <w:rPr>
          <w:rFonts w:ascii="黑体" w:eastAsia="黑体" w:hAnsi="宋体" w:cs="宋体"/>
          <w:b/>
          <w:color w:val="000000"/>
          <w:kern w:val="0"/>
          <w:sz w:val="32"/>
          <w:szCs w:val="32"/>
        </w:rPr>
      </w:pPr>
      <w:r w:rsidRPr="005F3513">
        <w:rPr>
          <w:rFonts w:ascii="黑体" w:eastAsia="黑体" w:hAnsi="宋体" w:cs="宋体" w:hint="eastAsia"/>
          <w:b/>
          <w:color w:val="000000"/>
          <w:kern w:val="0"/>
          <w:sz w:val="32"/>
          <w:szCs w:val="32"/>
        </w:rPr>
        <w:t>三、工作要求</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各地要加强对年报编写工作的领导和指导，落实报送范围和内容要求；强化定量分析、数据支撑；收集发掘高职教育在服务全面建设小康社会和“中国制造2025”等国家战略、主动服务地方和行业需求、加快发展现代职业教育等方面的典型案例。</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省级年报》应全面反映省域内高职教育的年度发展情况，各地须高度重视，一要基于《院校年报》进行定量分析和案例提炼；二要反映高职教育服务国家和地区经济社会发展与产业转型升级情况；三要反映本地落实国家高职教育改</w:t>
      </w:r>
      <w:r w:rsidRPr="00D45F02">
        <w:rPr>
          <w:rFonts w:ascii="仿宋_GB2312" w:eastAsia="仿宋_GB2312" w:hAnsi="宋体" w:cs="宋体" w:hint="eastAsia"/>
          <w:color w:val="000000"/>
          <w:kern w:val="0"/>
          <w:sz w:val="32"/>
          <w:szCs w:val="32"/>
          <w:shd w:val="clear" w:color="auto" w:fill="FFFFFF"/>
        </w:rPr>
        <w:lastRenderedPageBreak/>
        <w:t>革发展政策的情况；四要全面分析本地高职改革发展的年度成绩、问题和对策。</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2016年起，我部将委托《中国高等职业教育质量年度报告》编写组对各《省级年报》和《院校年报》进行合规性检查。检查结果列入工作通报。</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各地及高职院校应在本单位官方网站上公布年度质量报告。我司将在中国高职高专教育网上集中公布各地及高职院校的年度质量报告。</w:t>
      </w:r>
    </w:p>
    <w:p w:rsidR="00D45F02" w:rsidRPr="005F3513" w:rsidRDefault="00D45F02" w:rsidP="00D45F02">
      <w:pPr>
        <w:widowControl/>
        <w:shd w:val="clear" w:color="auto" w:fill="FFFFFF"/>
        <w:autoSpaceDE w:val="0"/>
        <w:spacing w:line="600" w:lineRule="exact"/>
        <w:ind w:firstLine="645"/>
        <w:jc w:val="left"/>
        <w:rPr>
          <w:rFonts w:ascii="黑体" w:eastAsia="黑体" w:hAnsi="宋体" w:cs="宋体"/>
          <w:b/>
          <w:color w:val="000000"/>
          <w:kern w:val="0"/>
          <w:sz w:val="32"/>
          <w:szCs w:val="32"/>
        </w:rPr>
      </w:pPr>
      <w:r w:rsidRPr="005F3513">
        <w:rPr>
          <w:rFonts w:ascii="黑体" w:eastAsia="黑体" w:hAnsi="宋体" w:cs="宋体" w:hint="eastAsia"/>
          <w:b/>
          <w:color w:val="000000"/>
          <w:kern w:val="0"/>
          <w:sz w:val="32"/>
          <w:szCs w:val="32"/>
        </w:rPr>
        <w:t>四、报送要求</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rPr>
        <w:t>各省、自治区、直辖市教育厅（教委）、新疆生产建设兵团教育局负责所辖区域内《省级年报》《院校年报》《企业年报》的布置和报送。</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5F3513">
        <w:rPr>
          <w:rFonts w:ascii="仿宋_GB2312" w:eastAsia="仿宋_GB2312" w:hAnsi="宋体" w:cs="宋体" w:hint="eastAsia"/>
          <w:b/>
          <w:color w:val="000000"/>
          <w:kern w:val="0"/>
          <w:sz w:val="32"/>
          <w:szCs w:val="32"/>
        </w:rPr>
        <w:t>1.年报及数据表提交。</w:t>
      </w:r>
      <w:r w:rsidRPr="00D45F02">
        <w:rPr>
          <w:rFonts w:ascii="仿宋_GB2312" w:eastAsia="仿宋_GB2312" w:hAnsi="宋体" w:cs="宋体" w:hint="eastAsia"/>
          <w:color w:val="000000"/>
          <w:kern w:val="0"/>
          <w:sz w:val="32"/>
          <w:szCs w:val="32"/>
        </w:rPr>
        <w:t>请各省、自治区、直辖市教育厅（教委）、新疆生产建设兵团教育局及各高职院校于即日起至2016年1月10日前，从“中国高职高专教育网”首页右侧“高等职业教育质量年度报告”专栏登录“高等职业教育质量年度报告报送系统”，按照系统要求上传质量年报（年报须为word格式，并以.doc后缀命名）和填写相应表格数据，全部填写并“保存”后点击“提交”按钮完成提交。</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5F3513">
        <w:rPr>
          <w:rFonts w:ascii="仿宋_GB2312" w:eastAsia="仿宋_GB2312" w:hAnsi="宋体" w:cs="宋体" w:hint="eastAsia"/>
          <w:b/>
          <w:color w:val="000000"/>
          <w:kern w:val="0"/>
          <w:sz w:val="32"/>
          <w:szCs w:val="32"/>
        </w:rPr>
        <w:t>2.公文报送。</w:t>
      </w:r>
      <w:r w:rsidRPr="00D45F02">
        <w:rPr>
          <w:rFonts w:ascii="仿宋_GB2312" w:eastAsia="仿宋_GB2312" w:hAnsi="宋体" w:cs="宋体" w:hint="eastAsia"/>
          <w:color w:val="000000"/>
          <w:kern w:val="0"/>
          <w:sz w:val="32"/>
          <w:szCs w:val="32"/>
        </w:rPr>
        <w:t>请各省、自治区、直辖市教育厅（教委）、新疆生产建设兵团教育局于2016年1月15日前，将报送公文（一份，附年报学校及企业名单，企业名称后须加括号注明所联系的院校名称）报送至我司高职与高专教育处。</w:t>
      </w:r>
    </w:p>
    <w:p w:rsidR="00D45F02" w:rsidRPr="005F3513" w:rsidRDefault="00D45F02" w:rsidP="00D45F02">
      <w:pPr>
        <w:widowControl/>
        <w:shd w:val="clear" w:color="auto" w:fill="FFFFFF"/>
        <w:autoSpaceDE w:val="0"/>
        <w:spacing w:line="600" w:lineRule="exact"/>
        <w:ind w:firstLine="645"/>
        <w:jc w:val="left"/>
        <w:rPr>
          <w:rFonts w:ascii="黑体" w:eastAsia="黑体" w:hAnsi="宋体" w:cs="宋体"/>
          <w:b/>
          <w:color w:val="000000"/>
          <w:kern w:val="0"/>
          <w:sz w:val="32"/>
          <w:szCs w:val="32"/>
        </w:rPr>
      </w:pPr>
      <w:r w:rsidRPr="005F3513">
        <w:rPr>
          <w:rFonts w:ascii="黑体" w:eastAsia="黑体" w:hAnsi="宋体" w:cs="宋体" w:hint="eastAsia"/>
          <w:b/>
          <w:color w:val="000000"/>
          <w:kern w:val="0"/>
          <w:sz w:val="32"/>
          <w:szCs w:val="32"/>
        </w:rPr>
        <w:lastRenderedPageBreak/>
        <w:t>五、联系方式</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5F3513">
        <w:rPr>
          <w:rFonts w:ascii="仿宋_GB2312" w:eastAsia="仿宋_GB2312" w:hAnsi="宋体" w:cs="宋体" w:hint="eastAsia"/>
          <w:bCs/>
          <w:color w:val="000000"/>
          <w:kern w:val="0"/>
          <w:sz w:val="32"/>
          <w:szCs w:val="32"/>
          <w:shd w:val="clear" w:color="auto" w:fill="FFFFFF"/>
        </w:rPr>
        <w:t>通信地址：</w:t>
      </w:r>
      <w:r w:rsidRPr="00D45F02">
        <w:rPr>
          <w:rFonts w:ascii="仿宋_GB2312" w:eastAsia="仿宋_GB2312" w:hAnsi="宋体" w:cs="宋体" w:hint="eastAsia"/>
          <w:color w:val="000000"/>
          <w:kern w:val="0"/>
          <w:sz w:val="32"/>
          <w:szCs w:val="32"/>
          <w:shd w:val="clear" w:color="auto" w:fill="FFFFFF"/>
        </w:rPr>
        <w:t>北京西单大木仓胡同35号，教育部职业教育与成人教育司高职与高专教育处（100816）</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5F3513">
        <w:rPr>
          <w:rFonts w:ascii="仿宋_GB2312" w:eastAsia="仿宋_GB2312" w:hAnsi="宋体" w:cs="宋体" w:hint="eastAsia"/>
          <w:bCs/>
          <w:color w:val="000000"/>
          <w:kern w:val="0"/>
          <w:sz w:val="32"/>
          <w:szCs w:val="32"/>
          <w:shd w:val="clear" w:color="auto" w:fill="FFFFFF"/>
        </w:rPr>
        <w:t>联系人：</w:t>
      </w:r>
      <w:r w:rsidRPr="00D45F02">
        <w:rPr>
          <w:rFonts w:ascii="仿宋_GB2312" w:eastAsia="仿宋_GB2312" w:hAnsi="宋体" w:cs="宋体" w:hint="eastAsia"/>
          <w:color w:val="000000"/>
          <w:kern w:val="0"/>
          <w:sz w:val="32"/>
          <w:szCs w:val="32"/>
          <w:shd w:val="clear" w:color="auto" w:fill="FFFFFF"/>
        </w:rPr>
        <w:t>朱华玉</w:t>
      </w:r>
      <w:r w:rsidR="00B157C9">
        <w:rPr>
          <w:rFonts w:ascii="宋体" w:eastAsia="仿宋_GB2312" w:hAnsi="宋体" w:cs="宋体" w:hint="eastAsia"/>
          <w:color w:val="000000"/>
          <w:kern w:val="0"/>
          <w:sz w:val="32"/>
          <w:szCs w:val="32"/>
          <w:shd w:val="clear" w:color="auto" w:fill="FFFFFF"/>
        </w:rPr>
        <w:t xml:space="preserve">  </w:t>
      </w:r>
      <w:r w:rsidRPr="00D45F02">
        <w:rPr>
          <w:rFonts w:ascii="仿宋_GB2312" w:eastAsia="仿宋_GB2312" w:hAnsi="宋体" w:cs="宋体" w:hint="eastAsia"/>
          <w:color w:val="000000"/>
          <w:kern w:val="0"/>
          <w:sz w:val="32"/>
          <w:szCs w:val="32"/>
          <w:shd w:val="clear" w:color="auto" w:fill="FFFFFF"/>
        </w:rPr>
        <w:t>任占营</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5F3513">
        <w:rPr>
          <w:rFonts w:ascii="仿宋_GB2312" w:eastAsia="仿宋_GB2312" w:hAnsi="宋体" w:cs="宋体" w:hint="eastAsia"/>
          <w:bCs/>
          <w:color w:val="000000"/>
          <w:kern w:val="0"/>
          <w:sz w:val="32"/>
          <w:szCs w:val="32"/>
          <w:shd w:val="clear" w:color="auto" w:fill="FFFFFF"/>
        </w:rPr>
        <w:t>电话：</w:t>
      </w:r>
      <w:r w:rsidRPr="00D45F02">
        <w:rPr>
          <w:rFonts w:ascii="仿宋_GB2312" w:eastAsia="仿宋_GB2312" w:hAnsi="宋体" w:cs="宋体" w:hint="eastAsia"/>
          <w:color w:val="000000"/>
          <w:kern w:val="0"/>
          <w:sz w:val="32"/>
          <w:szCs w:val="32"/>
          <w:shd w:val="clear" w:color="auto" w:fill="FFFFFF"/>
        </w:rPr>
        <w:t>010-66096232</w:t>
      </w:r>
    </w:p>
    <w:p w:rsidR="00D45F02" w:rsidRPr="00D45F02" w:rsidRDefault="00D45F02" w:rsidP="00D45F02">
      <w:pPr>
        <w:widowControl/>
        <w:shd w:val="clear" w:color="auto" w:fill="FFFFFF"/>
        <w:autoSpaceDE w:val="0"/>
        <w:spacing w:line="600" w:lineRule="exact"/>
        <w:ind w:firstLine="645"/>
        <w:jc w:val="left"/>
        <w:rPr>
          <w:rFonts w:ascii="仿宋_GB2312" w:eastAsia="仿宋_GB2312" w:hAnsi="宋体" w:cs="宋体"/>
          <w:color w:val="000000"/>
          <w:kern w:val="0"/>
          <w:sz w:val="32"/>
          <w:szCs w:val="32"/>
        </w:rPr>
      </w:pPr>
      <w:r w:rsidRPr="005F3513">
        <w:rPr>
          <w:rFonts w:ascii="仿宋_GB2312" w:eastAsia="仿宋_GB2312" w:hAnsi="宋体" w:cs="宋体" w:hint="eastAsia"/>
          <w:bCs/>
          <w:color w:val="000000"/>
          <w:kern w:val="0"/>
          <w:sz w:val="32"/>
          <w:szCs w:val="32"/>
          <w:shd w:val="clear" w:color="auto" w:fill="FFFFFF"/>
        </w:rPr>
        <w:t>邮箱：</w:t>
      </w:r>
      <w:r w:rsidRPr="00D45F02">
        <w:rPr>
          <w:rFonts w:ascii="仿宋_GB2312" w:eastAsia="仿宋_GB2312" w:hAnsi="宋体" w:cs="宋体" w:hint="eastAsia"/>
          <w:color w:val="000000"/>
          <w:kern w:val="0"/>
          <w:sz w:val="32"/>
          <w:szCs w:val="32"/>
          <w:shd w:val="clear" w:color="auto" w:fill="FFFFFF"/>
        </w:rPr>
        <w:t>sfgz@moe.edu.cn</w:t>
      </w:r>
    </w:p>
    <w:p w:rsidR="00D45F02" w:rsidRPr="00D45F02" w:rsidRDefault="00D45F02" w:rsidP="00D45F02">
      <w:pPr>
        <w:widowControl/>
        <w:shd w:val="clear" w:color="auto" w:fill="FFFFFF"/>
        <w:spacing w:line="600" w:lineRule="exact"/>
        <w:jc w:val="lef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shd w:val="clear" w:color="auto" w:fill="FFFFFF"/>
        </w:rPr>
        <w:t> </w:t>
      </w:r>
      <w:r w:rsidR="00B157C9">
        <w:rPr>
          <w:rFonts w:ascii="仿宋_GB2312" w:eastAsia="仿宋_GB2312" w:hAnsi="宋体" w:cs="宋体" w:hint="eastAsia"/>
          <w:color w:val="000000"/>
          <w:kern w:val="0"/>
          <w:sz w:val="32"/>
          <w:szCs w:val="32"/>
        </w:rPr>
        <w:t xml:space="preserve">  </w:t>
      </w:r>
      <w:r w:rsidRPr="00D45F02">
        <w:rPr>
          <w:rFonts w:ascii="仿宋_GB2312" w:eastAsia="仿宋_GB2312" w:hAnsi="宋体" w:cs="宋体" w:hint="eastAsia"/>
          <w:color w:val="000000"/>
          <w:kern w:val="0"/>
          <w:sz w:val="32"/>
          <w:szCs w:val="32"/>
          <w:shd w:val="clear" w:color="auto" w:fill="FFFFFF"/>
        </w:rPr>
        <w:t>附件：1</w:t>
      </w:r>
      <w:r w:rsidR="00B157C9" w:rsidRPr="00D45F02">
        <w:rPr>
          <w:rFonts w:ascii="仿宋_GB2312" w:eastAsia="仿宋_GB2312" w:hAnsi="宋体" w:cs="宋体" w:hint="eastAsia"/>
          <w:color w:val="000000"/>
          <w:kern w:val="0"/>
          <w:sz w:val="32"/>
          <w:szCs w:val="32"/>
          <w:shd w:val="clear" w:color="auto" w:fill="FFFFFF"/>
        </w:rPr>
        <w:t xml:space="preserve">. </w:t>
      </w:r>
      <w:r w:rsidRPr="00D45F02">
        <w:rPr>
          <w:rFonts w:ascii="仿宋_GB2312" w:eastAsia="仿宋_GB2312" w:hAnsi="宋体" w:cs="宋体" w:hint="eastAsia"/>
          <w:color w:val="000000"/>
          <w:kern w:val="0"/>
          <w:sz w:val="32"/>
          <w:szCs w:val="32"/>
          <w:shd w:val="clear" w:color="auto" w:fill="FFFFFF"/>
        </w:rPr>
        <w:t>“计分卡”指标及相关内涵说明</w:t>
      </w:r>
    </w:p>
    <w:p w:rsidR="00D45F02" w:rsidRPr="00D45F02" w:rsidRDefault="00D45F02" w:rsidP="00D45F02">
      <w:pPr>
        <w:widowControl/>
        <w:shd w:val="clear" w:color="auto" w:fill="FFFFFF"/>
        <w:spacing w:line="600" w:lineRule="exact"/>
        <w:jc w:val="lef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Pr="00D45F02">
        <w:rPr>
          <w:rFonts w:ascii="宋体" w:eastAsia="仿宋_GB2312" w:hAnsi="宋体" w:cs="宋体" w:hint="eastAsia"/>
          <w:color w:val="000000"/>
          <w:kern w:val="0"/>
          <w:sz w:val="32"/>
          <w:szCs w:val="32"/>
          <w:shd w:val="clear" w:color="auto" w:fill="FFFFFF"/>
        </w:rPr>
        <w:t> </w:t>
      </w:r>
      <w:r w:rsidR="00B157C9">
        <w:rPr>
          <w:rFonts w:ascii="宋体" w:eastAsia="仿宋_GB2312" w:hAnsi="宋体" w:cs="宋体" w:hint="eastAsia"/>
          <w:color w:val="000000"/>
          <w:kern w:val="0"/>
          <w:sz w:val="32"/>
          <w:szCs w:val="32"/>
          <w:shd w:val="clear" w:color="auto" w:fill="FFFFFF"/>
        </w:rPr>
        <w:t xml:space="preserve">    </w:t>
      </w:r>
      <w:r w:rsidRPr="00D45F02">
        <w:rPr>
          <w:rFonts w:ascii="仿宋_GB2312" w:eastAsia="仿宋_GB2312" w:hAnsi="宋体" w:cs="宋体" w:hint="eastAsia"/>
          <w:color w:val="000000"/>
          <w:kern w:val="0"/>
          <w:sz w:val="32"/>
          <w:szCs w:val="32"/>
          <w:shd w:val="clear" w:color="auto" w:fill="FFFFFF"/>
        </w:rPr>
        <w:t xml:space="preserve"> 2.“资源表”指标及相关内涵说明</w:t>
      </w:r>
    </w:p>
    <w:p w:rsidR="00D45F02" w:rsidRPr="00D45F02" w:rsidRDefault="00D45F02" w:rsidP="00D45F02">
      <w:pPr>
        <w:widowControl/>
        <w:shd w:val="clear" w:color="auto" w:fill="FFFFFF"/>
        <w:spacing w:line="600" w:lineRule="exact"/>
        <w:jc w:val="lef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00B157C9">
        <w:rPr>
          <w:rFonts w:ascii="仿宋_GB2312" w:eastAsia="仿宋_GB2312" w:hAnsi="宋体" w:cs="宋体" w:hint="eastAsia"/>
          <w:color w:val="000000"/>
          <w:kern w:val="0"/>
          <w:sz w:val="32"/>
          <w:szCs w:val="32"/>
          <w:shd w:val="clear" w:color="auto" w:fill="FFFFFF"/>
        </w:rPr>
        <w:t xml:space="preserve">    </w:t>
      </w:r>
      <w:r w:rsidRPr="00D45F02">
        <w:rPr>
          <w:rFonts w:ascii="仿宋_GB2312" w:eastAsia="仿宋_GB2312" w:hAnsi="宋体" w:cs="宋体" w:hint="eastAsia"/>
          <w:color w:val="000000"/>
          <w:kern w:val="0"/>
          <w:sz w:val="32"/>
          <w:szCs w:val="32"/>
          <w:shd w:val="clear" w:color="auto" w:fill="FFFFFF"/>
        </w:rPr>
        <w:t>3.“服务贡献表”指标及相关内涵说明</w:t>
      </w:r>
    </w:p>
    <w:p w:rsidR="00D45F02" w:rsidRPr="00D45F02" w:rsidRDefault="00D45F02" w:rsidP="00D45F02">
      <w:pPr>
        <w:widowControl/>
        <w:shd w:val="clear" w:color="auto" w:fill="FFFFFF"/>
        <w:spacing w:line="600" w:lineRule="exact"/>
        <w:jc w:val="lef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Pr="00D45F02">
        <w:rPr>
          <w:rFonts w:ascii="宋体" w:eastAsia="仿宋_GB2312" w:hAnsi="宋体" w:cs="宋体" w:hint="eastAsia"/>
          <w:color w:val="000000"/>
          <w:kern w:val="0"/>
          <w:sz w:val="32"/>
          <w:szCs w:val="32"/>
          <w:shd w:val="clear" w:color="auto" w:fill="FFFFFF"/>
        </w:rPr>
        <w:t> </w:t>
      </w:r>
      <w:r w:rsidR="00B157C9">
        <w:rPr>
          <w:rFonts w:ascii="宋体" w:eastAsia="仿宋_GB2312" w:hAnsi="宋体" w:cs="宋体" w:hint="eastAsia"/>
          <w:color w:val="000000"/>
          <w:kern w:val="0"/>
          <w:sz w:val="32"/>
          <w:szCs w:val="32"/>
          <w:shd w:val="clear" w:color="auto" w:fill="FFFFFF"/>
        </w:rPr>
        <w:t xml:space="preserve"> </w:t>
      </w:r>
      <w:r w:rsidRPr="00D45F02">
        <w:rPr>
          <w:rFonts w:ascii="仿宋_GB2312" w:eastAsia="仿宋_GB2312" w:hAnsi="宋体" w:cs="宋体" w:hint="eastAsia"/>
          <w:color w:val="000000"/>
          <w:kern w:val="0"/>
          <w:sz w:val="32"/>
          <w:szCs w:val="32"/>
          <w:shd w:val="clear" w:color="auto" w:fill="FFFFFF"/>
        </w:rPr>
        <w:t xml:space="preserve"> 4.“落实政策表”指标及相关内涵说明</w:t>
      </w:r>
    </w:p>
    <w:p w:rsidR="00D45F02" w:rsidRPr="00D45F02" w:rsidRDefault="00D45F02" w:rsidP="00D45F02">
      <w:pPr>
        <w:widowControl/>
        <w:shd w:val="clear" w:color="auto" w:fill="FFFFFF"/>
        <w:spacing w:line="600" w:lineRule="exact"/>
        <w:jc w:val="lef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 xml:space="preserve"> </w:t>
      </w:r>
      <w:r w:rsidR="00B157C9">
        <w:rPr>
          <w:rFonts w:ascii="仿宋_GB2312" w:eastAsia="仿宋_GB2312" w:hAnsi="宋体" w:cs="宋体" w:hint="eastAsia"/>
          <w:color w:val="000000"/>
          <w:kern w:val="0"/>
          <w:sz w:val="32"/>
          <w:szCs w:val="32"/>
          <w:shd w:val="clear" w:color="auto" w:fill="FFFFFF"/>
        </w:rPr>
        <w:t xml:space="preserve"> </w:t>
      </w:r>
      <w:r w:rsidRPr="00D45F02">
        <w:rPr>
          <w:rFonts w:ascii="仿宋_GB2312" w:eastAsia="仿宋_GB2312" w:hAnsi="宋体" w:cs="宋体" w:hint="eastAsia"/>
          <w:color w:val="000000"/>
          <w:kern w:val="0"/>
          <w:sz w:val="32"/>
          <w:szCs w:val="32"/>
          <w:shd w:val="clear" w:color="auto" w:fill="FFFFFF"/>
        </w:rPr>
        <w:t>5.</w:t>
      </w:r>
      <w:r w:rsidRPr="00D45F02">
        <w:rPr>
          <w:rFonts w:ascii="宋体" w:eastAsia="仿宋_GB2312" w:hAnsi="宋体" w:cs="宋体" w:hint="eastAsia"/>
          <w:color w:val="000000"/>
          <w:kern w:val="0"/>
          <w:sz w:val="32"/>
          <w:szCs w:val="32"/>
          <w:shd w:val="clear" w:color="auto" w:fill="FFFFFF"/>
        </w:rPr>
        <w:t> </w:t>
      </w:r>
      <w:r w:rsidRPr="00D45F02">
        <w:rPr>
          <w:rFonts w:ascii="仿宋_GB2312" w:eastAsia="仿宋_GB2312" w:hAnsi="宋体" w:cs="宋体" w:hint="eastAsia"/>
          <w:color w:val="000000"/>
          <w:kern w:val="0"/>
          <w:sz w:val="32"/>
          <w:szCs w:val="32"/>
          <w:shd w:val="clear" w:color="auto" w:fill="FFFFFF"/>
        </w:rPr>
        <w:t>填写说明</w:t>
      </w:r>
    </w:p>
    <w:p w:rsidR="00D45F02" w:rsidRPr="00D45F02" w:rsidRDefault="00D45F02" w:rsidP="00D45F02">
      <w:pPr>
        <w:widowControl/>
        <w:shd w:val="clear" w:color="auto" w:fill="FFFFFF"/>
        <w:autoSpaceDE w:val="0"/>
        <w:spacing w:line="600" w:lineRule="exact"/>
        <w:jc w:val="lef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rPr>
        <w:t>  </w:t>
      </w:r>
    </w:p>
    <w:p w:rsidR="005F3513" w:rsidRDefault="00D45F02" w:rsidP="00D45F02">
      <w:pPr>
        <w:widowControl/>
        <w:shd w:val="clear" w:color="auto" w:fill="FFFFFF"/>
        <w:spacing w:line="600" w:lineRule="exact"/>
        <w:jc w:val="right"/>
        <w:rPr>
          <w:rFonts w:ascii="宋体" w:eastAsia="仿宋_GB2312" w:hAnsi="宋体" w:cs="宋体"/>
          <w:color w:val="000000"/>
          <w:kern w:val="0"/>
          <w:sz w:val="32"/>
          <w:szCs w:val="32"/>
        </w:rPr>
      </w:pPr>
      <w:r w:rsidRPr="00D45F02">
        <w:rPr>
          <w:rFonts w:ascii="宋体" w:eastAsia="仿宋_GB2312" w:hAnsi="宋体" w:cs="宋体" w:hint="eastAsia"/>
          <w:color w:val="000000"/>
          <w:kern w:val="0"/>
          <w:sz w:val="32"/>
          <w:szCs w:val="32"/>
        </w:rPr>
        <w:t> </w:t>
      </w:r>
    </w:p>
    <w:p w:rsidR="005F3513" w:rsidRDefault="005F3513" w:rsidP="00D45F02">
      <w:pPr>
        <w:widowControl/>
        <w:shd w:val="clear" w:color="auto" w:fill="FFFFFF"/>
        <w:spacing w:line="600" w:lineRule="exact"/>
        <w:jc w:val="right"/>
        <w:rPr>
          <w:rFonts w:ascii="宋体" w:eastAsia="仿宋_GB2312" w:hAnsi="宋体" w:cs="宋体"/>
          <w:color w:val="000000"/>
          <w:kern w:val="0"/>
          <w:sz w:val="32"/>
          <w:szCs w:val="32"/>
        </w:rPr>
      </w:pPr>
    </w:p>
    <w:p w:rsidR="00D45F02" w:rsidRPr="00D45F02" w:rsidRDefault="00D45F02" w:rsidP="00D45F02">
      <w:pPr>
        <w:widowControl/>
        <w:shd w:val="clear" w:color="auto" w:fill="FFFFFF"/>
        <w:spacing w:line="600" w:lineRule="exact"/>
        <w:jc w:val="right"/>
        <w:rPr>
          <w:rFonts w:ascii="仿宋_GB2312" w:eastAsia="仿宋_GB2312" w:hAnsi="宋体" w:cs="宋体"/>
          <w:color w:val="000000"/>
          <w:kern w:val="0"/>
          <w:sz w:val="32"/>
          <w:szCs w:val="32"/>
        </w:rPr>
      </w:pPr>
      <w:r w:rsidRPr="00D45F02">
        <w:rPr>
          <w:rFonts w:ascii="仿宋_GB2312" w:eastAsia="仿宋_GB2312" w:hAnsi="宋体" w:cs="宋体" w:hint="eastAsia"/>
          <w:color w:val="000000"/>
          <w:kern w:val="0"/>
          <w:sz w:val="32"/>
          <w:szCs w:val="32"/>
          <w:shd w:val="clear" w:color="auto" w:fill="FFFFFF"/>
        </w:rPr>
        <w:t>教育部职业教育与成人教育司</w:t>
      </w:r>
    </w:p>
    <w:p w:rsidR="00D45F02" w:rsidRPr="00D45F02" w:rsidRDefault="00D45F02" w:rsidP="00D45F02">
      <w:pPr>
        <w:widowControl/>
        <w:shd w:val="clear" w:color="auto" w:fill="FFFFFF"/>
        <w:spacing w:line="600" w:lineRule="exact"/>
        <w:ind w:right="645"/>
        <w:jc w:val="right"/>
        <w:rPr>
          <w:rFonts w:ascii="仿宋_GB2312" w:eastAsia="仿宋_GB2312" w:hAnsi="宋体" w:cs="宋体"/>
          <w:color w:val="000000"/>
          <w:kern w:val="0"/>
          <w:sz w:val="32"/>
          <w:szCs w:val="32"/>
        </w:rPr>
      </w:pP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 xml:space="preserve"> </w:t>
      </w:r>
      <w:r w:rsidRPr="00D45F02">
        <w:rPr>
          <w:rFonts w:ascii="宋体" w:eastAsia="仿宋_GB2312" w:hAnsi="宋体" w:cs="宋体" w:hint="eastAsia"/>
          <w:color w:val="000000"/>
          <w:kern w:val="0"/>
          <w:sz w:val="32"/>
          <w:szCs w:val="32"/>
        </w:rPr>
        <w:t> </w:t>
      </w:r>
      <w:r w:rsidRPr="00D45F02">
        <w:rPr>
          <w:rFonts w:ascii="仿宋_GB2312" w:eastAsia="仿宋_GB2312" w:hAnsi="宋体" w:cs="宋体" w:hint="eastAsia"/>
          <w:color w:val="000000"/>
          <w:kern w:val="0"/>
          <w:sz w:val="32"/>
          <w:szCs w:val="32"/>
        </w:rPr>
        <w:t>2015年10月19日</w:t>
      </w:r>
    </w:p>
    <w:p w:rsidR="001B2F6E" w:rsidRDefault="001B2F6E">
      <w:pPr>
        <w:widowControl/>
        <w:jc w:val="left"/>
        <w:rPr>
          <w:rFonts w:ascii="仿宋_GB2312" w:eastAsia="仿宋_GB2312"/>
          <w:sz w:val="32"/>
          <w:szCs w:val="32"/>
        </w:rPr>
      </w:pPr>
      <w:r>
        <w:rPr>
          <w:rFonts w:ascii="仿宋_GB2312" w:eastAsia="仿宋_GB2312"/>
          <w:sz w:val="32"/>
          <w:szCs w:val="32"/>
        </w:rPr>
        <w:br w:type="page"/>
      </w:r>
    </w:p>
    <w:p w:rsidR="001B2F6E" w:rsidRDefault="001B2F6E" w:rsidP="001B2F6E">
      <w:pPr>
        <w:snapToGrid w:val="0"/>
        <w:spacing w:line="240" w:lineRule="atLeast"/>
        <w:jc w:val="left"/>
        <w:rPr>
          <w:rFonts w:ascii="仿宋_GB2312" w:eastAsia="仿宋_GB2312" w:hAnsi="黑体" w:cs="宋体"/>
          <w:color w:val="000000"/>
          <w:kern w:val="0"/>
          <w:sz w:val="32"/>
          <w:szCs w:val="32"/>
        </w:rPr>
      </w:pPr>
      <w:bookmarkStart w:id="0" w:name="_GoBack"/>
      <w:bookmarkEnd w:id="0"/>
      <w:r>
        <w:rPr>
          <w:rFonts w:ascii="仿宋_GB2312" w:eastAsia="仿宋_GB2312" w:hAnsi="黑体" w:hint="eastAsia"/>
          <w:color w:val="000000"/>
          <w:kern w:val="0"/>
          <w:sz w:val="32"/>
          <w:szCs w:val="32"/>
        </w:rPr>
        <w:lastRenderedPageBreak/>
        <w:t>附件1</w:t>
      </w:r>
    </w:p>
    <w:p w:rsidR="001B2F6E" w:rsidRDefault="001B2F6E" w:rsidP="00B157C9">
      <w:pPr>
        <w:snapToGrid w:val="0"/>
        <w:spacing w:afterLines="50"/>
        <w:ind w:firstLineChars="400" w:firstLine="1440"/>
        <w:outlineLvl w:val="0"/>
        <w:rPr>
          <w:rFonts w:ascii="方正小标宋简体" w:eastAsia="方正小标宋简体" w:hAnsi="Times New Roman" w:cs="宋体"/>
          <w:color w:val="000000"/>
          <w:kern w:val="0"/>
          <w:sz w:val="36"/>
          <w:szCs w:val="36"/>
        </w:rPr>
      </w:pPr>
      <w:r>
        <w:rPr>
          <w:rFonts w:ascii="方正小标宋简体" w:eastAsia="方正小标宋简体" w:hAnsi="Times New Roman" w:cs="宋体" w:hint="eastAsia"/>
          <w:color w:val="000000"/>
          <w:kern w:val="0"/>
          <w:sz w:val="36"/>
          <w:szCs w:val="36"/>
        </w:rPr>
        <w:t>“计分卡”指标及相关内涵说明</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计分卡”系综合衡量院校人才培养质量的管理评价工具，其关键指标包括：高职生毕业半年后的就业率、月收入、理工农医类专业相关度、母校满意度和自主创业比例等反映就业数量和质量的指标。所有的指标建议选取学生毕业半年后到一年之间某个时点进行调查。</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1.“月收入”指包含奖金、提成、住宿、住房公积金等折算成的现金总和。</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 xml:space="preserve">2.“理工农医类专业相关度”指理工农医类专业的毕业生认为所从事的工作与所学专业相关的比例，分母是本单位调查时理工农医类专业就业的毕业生人数，分子是本单位理工农医类专业的毕业生认为所从事的工作与所学专业相关的毕业生人数。 </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3.“母校满意度”指本单位高职毕业生对母校表示满意的比例。</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4.“雇主满意度”指录用应届高职毕业生的单位或部门对录用学生的满意度评价。</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5.“专业大类月收入”指按《普通高等学校高职高专教育指导性专业目录》（试行）规定的各大类高职专业毕业生的人均月收入，可另附表（“雇主满意度”和“专业大类月收入”为选填指标，建议有条件的学校和地区可将其纳入“计分卡”）。</w:t>
      </w:r>
    </w:p>
    <w:p w:rsidR="001B2F6E" w:rsidRDefault="001B2F6E" w:rsidP="001B2F6E">
      <w:pPr>
        <w:spacing w:line="560" w:lineRule="exact"/>
        <w:jc w:val="center"/>
        <w:rPr>
          <w:rFonts w:ascii="黑体" w:eastAsia="黑体" w:hAnsi="黑体"/>
          <w:sz w:val="32"/>
          <w:szCs w:val="32"/>
        </w:rPr>
      </w:pPr>
      <w:r>
        <w:rPr>
          <w:rFonts w:ascii="仿宋_GB2312" w:eastAsia="仿宋_GB2312"/>
          <w:sz w:val="32"/>
          <w:szCs w:val="32"/>
        </w:rPr>
        <w:br w:type="page"/>
      </w:r>
      <w:r>
        <w:rPr>
          <w:rFonts w:ascii="黑体" w:eastAsia="黑体" w:hAnsi="黑体" w:hint="eastAsia"/>
          <w:sz w:val="32"/>
          <w:szCs w:val="32"/>
        </w:rPr>
        <w:lastRenderedPageBreak/>
        <w:t>表1 计分卡</w:t>
      </w:r>
    </w:p>
    <w:tbl>
      <w:tblPr>
        <w:tblW w:w="8710" w:type="dxa"/>
        <w:jc w:val="center"/>
        <w:tblLayout w:type="fixed"/>
        <w:tblLook w:val="04A0"/>
      </w:tblPr>
      <w:tblGrid>
        <w:gridCol w:w="744"/>
        <w:gridCol w:w="909"/>
        <w:gridCol w:w="473"/>
        <w:gridCol w:w="3506"/>
        <w:gridCol w:w="698"/>
        <w:gridCol w:w="1196"/>
        <w:gridCol w:w="1184"/>
      </w:tblGrid>
      <w:tr w:rsidR="001B2F6E" w:rsidTr="00AF67D8">
        <w:trPr>
          <w:trHeight w:val="707"/>
          <w:jc w:val="center"/>
        </w:trPr>
        <w:tc>
          <w:tcPr>
            <w:tcW w:w="744" w:type="dxa"/>
            <w:tcBorders>
              <w:top w:val="single" w:sz="4" w:space="0" w:color="auto"/>
              <w:left w:val="single" w:sz="4" w:space="0" w:color="auto"/>
              <w:bottom w:val="single" w:sz="4" w:space="0" w:color="auto"/>
            </w:tcBorders>
          </w:tcPr>
          <w:p w:rsidR="001B2F6E" w:rsidRDefault="001B2F6E" w:rsidP="00AF67D8">
            <w:pPr>
              <w:widowControl/>
              <w:snapToGrid w:val="0"/>
              <w:spacing w:line="312" w:lineRule="auto"/>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院校代码</w:t>
            </w:r>
          </w:p>
        </w:tc>
        <w:tc>
          <w:tcPr>
            <w:tcW w:w="909" w:type="dxa"/>
            <w:tcBorders>
              <w:top w:val="single" w:sz="4" w:space="0" w:color="auto"/>
              <w:left w:val="single" w:sz="4" w:space="0" w:color="auto"/>
              <w:bottom w:val="single" w:sz="4" w:space="0" w:color="auto"/>
            </w:tcBorders>
          </w:tcPr>
          <w:p w:rsidR="001B2F6E" w:rsidRDefault="001B2F6E" w:rsidP="00AF67D8">
            <w:pPr>
              <w:widowControl/>
              <w:snapToGrid w:val="0"/>
              <w:spacing w:line="312" w:lineRule="auto"/>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院校名称</w:t>
            </w:r>
          </w:p>
        </w:tc>
        <w:tc>
          <w:tcPr>
            <w:tcW w:w="3979" w:type="dxa"/>
            <w:gridSpan w:val="2"/>
            <w:tcBorders>
              <w:top w:val="single" w:sz="4" w:space="0" w:color="auto"/>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指标</w:t>
            </w:r>
          </w:p>
        </w:tc>
        <w:tc>
          <w:tcPr>
            <w:tcW w:w="698" w:type="dxa"/>
            <w:tcBorders>
              <w:top w:val="single" w:sz="4" w:space="0" w:color="auto"/>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单位</w:t>
            </w:r>
          </w:p>
        </w:tc>
        <w:tc>
          <w:tcPr>
            <w:tcW w:w="1196" w:type="dxa"/>
            <w:tcBorders>
              <w:top w:val="single" w:sz="4" w:space="0" w:color="auto"/>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2014年</w:t>
            </w:r>
          </w:p>
        </w:tc>
        <w:tc>
          <w:tcPr>
            <w:tcW w:w="1184" w:type="dxa"/>
            <w:tcBorders>
              <w:top w:val="single" w:sz="4" w:space="0" w:color="auto"/>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2015年</w:t>
            </w:r>
          </w:p>
        </w:tc>
      </w:tr>
      <w:tr w:rsidR="001B2F6E" w:rsidTr="00AF67D8">
        <w:trPr>
          <w:trHeight w:val="285"/>
          <w:jc w:val="center"/>
        </w:trPr>
        <w:tc>
          <w:tcPr>
            <w:tcW w:w="744" w:type="dxa"/>
            <w:vMerge w:val="restart"/>
            <w:tcBorders>
              <w:top w:val="single" w:sz="4" w:space="0" w:color="auto"/>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909" w:type="dxa"/>
            <w:vMerge w:val="restart"/>
            <w:tcBorders>
              <w:top w:val="single" w:sz="4" w:space="0" w:color="auto"/>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1</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就业率</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r w:rsidR="001B2F6E" w:rsidTr="00AF67D8">
        <w:trPr>
          <w:trHeight w:val="285"/>
          <w:jc w:val="center"/>
        </w:trPr>
        <w:tc>
          <w:tcPr>
            <w:tcW w:w="744" w:type="dxa"/>
            <w:vMerge/>
            <w:tcBorders>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909" w:type="dxa"/>
            <w:vMerge/>
            <w:tcBorders>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月收入</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元</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r w:rsidR="001B2F6E" w:rsidTr="00AF67D8">
        <w:trPr>
          <w:trHeight w:val="285"/>
          <w:jc w:val="center"/>
        </w:trPr>
        <w:tc>
          <w:tcPr>
            <w:tcW w:w="744" w:type="dxa"/>
            <w:vMerge/>
            <w:tcBorders>
              <w:left w:val="single" w:sz="4" w:space="0" w:color="auto"/>
            </w:tcBorders>
          </w:tcPr>
          <w:p w:rsidR="001B2F6E" w:rsidRDefault="001B2F6E" w:rsidP="00AF67D8">
            <w:pPr>
              <w:widowControl/>
              <w:snapToGrid w:val="0"/>
              <w:spacing w:line="312" w:lineRule="auto"/>
              <w:ind w:firstLineChars="50" w:firstLine="120"/>
              <w:rPr>
                <w:rFonts w:ascii="仿宋_GB2312" w:eastAsia="仿宋_GB2312" w:hAnsi="宋体" w:cs="宋体"/>
                <w:color w:val="000000"/>
                <w:kern w:val="0"/>
                <w:sz w:val="24"/>
                <w:szCs w:val="24"/>
              </w:rPr>
            </w:pPr>
          </w:p>
        </w:tc>
        <w:tc>
          <w:tcPr>
            <w:tcW w:w="909" w:type="dxa"/>
            <w:vMerge/>
            <w:tcBorders>
              <w:left w:val="single" w:sz="4" w:space="0" w:color="auto"/>
            </w:tcBorders>
          </w:tcPr>
          <w:p w:rsidR="001B2F6E" w:rsidRDefault="001B2F6E" w:rsidP="00AF67D8">
            <w:pPr>
              <w:widowControl/>
              <w:snapToGrid w:val="0"/>
              <w:spacing w:line="312" w:lineRule="auto"/>
              <w:ind w:firstLineChars="50" w:firstLine="120"/>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理工农医类专业相关度</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r w:rsidR="001B2F6E" w:rsidTr="00AF67D8">
        <w:trPr>
          <w:trHeight w:val="285"/>
          <w:jc w:val="center"/>
        </w:trPr>
        <w:tc>
          <w:tcPr>
            <w:tcW w:w="744" w:type="dxa"/>
            <w:vMerge/>
            <w:tcBorders>
              <w:left w:val="single" w:sz="4" w:space="0" w:color="auto"/>
            </w:tcBorders>
          </w:tcPr>
          <w:p w:rsidR="001B2F6E" w:rsidRDefault="001B2F6E" w:rsidP="00AF67D8">
            <w:pPr>
              <w:widowControl/>
              <w:snapToGrid w:val="0"/>
              <w:spacing w:line="312" w:lineRule="auto"/>
              <w:ind w:firstLineChars="50" w:firstLine="120"/>
              <w:rPr>
                <w:rFonts w:ascii="仿宋_GB2312" w:eastAsia="仿宋_GB2312" w:hAnsi="宋体" w:cs="宋体"/>
                <w:color w:val="000000"/>
                <w:kern w:val="0"/>
                <w:sz w:val="24"/>
                <w:szCs w:val="24"/>
              </w:rPr>
            </w:pPr>
          </w:p>
        </w:tc>
        <w:tc>
          <w:tcPr>
            <w:tcW w:w="909" w:type="dxa"/>
            <w:vMerge/>
            <w:tcBorders>
              <w:left w:val="single" w:sz="4" w:space="0" w:color="auto"/>
            </w:tcBorders>
          </w:tcPr>
          <w:p w:rsidR="001B2F6E" w:rsidRDefault="001B2F6E" w:rsidP="00AF67D8">
            <w:pPr>
              <w:widowControl/>
              <w:snapToGrid w:val="0"/>
              <w:spacing w:line="312" w:lineRule="auto"/>
              <w:ind w:firstLineChars="50" w:firstLine="120"/>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母校满意度</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r w:rsidR="001B2F6E" w:rsidTr="00AF67D8">
        <w:trPr>
          <w:trHeight w:val="285"/>
          <w:jc w:val="center"/>
        </w:trPr>
        <w:tc>
          <w:tcPr>
            <w:tcW w:w="744" w:type="dxa"/>
            <w:vMerge/>
            <w:tcBorders>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909" w:type="dxa"/>
            <w:vMerge/>
            <w:tcBorders>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5</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自主创业比例</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r w:rsidR="001B2F6E" w:rsidTr="00AF67D8">
        <w:trPr>
          <w:trHeight w:val="285"/>
          <w:jc w:val="center"/>
        </w:trPr>
        <w:tc>
          <w:tcPr>
            <w:tcW w:w="744" w:type="dxa"/>
            <w:vMerge/>
            <w:tcBorders>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909" w:type="dxa"/>
            <w:vMerge/>
            <w:tcBorders>
              <w:left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6</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雇主满意度</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r w:rsidR="001B2F6E" w:rsidTr="00AF67D8">
        <w:trPr>
          <w:trHeight w:val="285"/>
          <w:jc w:val="center"/>
        </w:trPr>
        <w:tc>
          <w:tcPr>
            <w:tcW w:w="744" w:type="dxa"/>
            <w:vMerge/>
            <w:tcBorders>
              <w:left w:val="single" w:sz="4" w:space="0" w:color="auto"/>
              <w:bottom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909" w:type="dxa"/>
            <w:vMerge/>
            <w:tcBorders>
              <w:left w:val="single" w:sz="4" w:space="0" w:color="auto"/>
              <w:bottom w:val="single" w:sz="4" w:space="0" w:color="auto"/>
            </w:tcBorders>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473" w:type="dxa"/>
            <w:tcBorders>
              <w:top w:val="nil"/>
              <w:left w:val="single" w:sz="4" w:space="0" w:color="auto"/>
              <w:bottom w:val="single" w:sz="4" w:space="0" w:color="auto"/>
              <w:right w:val="single" w:sz="4" w:space="0" w:color="auto"/>
            </w:tcBorders>
            <w:vAlign w:val="center"/>
          </w:tcPr>
          <w:p w:rsidR="001B2F6E" w:rsidRDefault="001B2F6E" w:rsidP="00AF67D8">
            <w:pPr>
              <w:widowControl/>
              <w:snapToGrid w:val="0"/>
              <w:spacing w:line="312" w:lineRule="auto"/>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7</w:t>
            </w:r>
          </w:p>
        </w:tc>
        <w:tc>
          <w:tcPr>
            <w:tcW w:w="350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专业大类月收入</w:t>
            </w:r>
          </w:p>
        </w:tc>
        <w:tc>
          <w:tcPr>
            <w:tcW w:w="698"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元</w:t>
            </w:r>
          </w:p>
        </w:tc>
        <w:tc>
          <w:tcPr>
            <w:tcW w:w="1196"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c>
          <w:tcPr>
            <w:tcW w:w="1184" w:type="dxa"/>
            <w:tcBorders>
              <w:top w:val="nil"/>
              <w:left w:val="nil"/>
              <w:bottom w:val="single" w:sz="4" w:space="0" w:color="auto"/>
              <w:right w:val="single" w:sz="4" w:space="0" w:color="auto"/>
            </w:tcBorders>
            <w:vAlign w:val="center"/>
          </w:tcPr>
          <w:p w:rsidR="001B2F6E" w:rsidRDefault="001B2F6E" w:rsidP="00AF67D8">
            <w:pPr>
              <w:widowControl/>
              <w:snapToGrid w:val="0"/>
              <w:spacing w:line="312" w:lineRule="auto"/>
              <w:jc w:val="center"/>
              <w:rPr>
                <w:rFonts w:ascii="仿宋_GB2312" w:eastAsia="仿宋_GB2312" w:hAnsi="宋体" w:cs="宋体"/>
                <w:color w:val="000000"/>
                <w:kern w:val="0"/>
                <w:sz w:val="24"/>
                <w:szCs w:val="24"/>
              </w:rPr>
            </w:pPr>
          </w:p>
        </w:tc>
      </w:tr>
    </w:tbl>
    <w:p w:rsidR="001B2F6E" w:rsidRDefault="001B2F6E" w:rsidP="001B2F6E">
      <w:pPr>
        <w:widowControl/>
        <w:snapToGrid w:val="0"/>
        <w:spacing w:line="560" w:lineRule="exact"/>
        <w:jc w:val="left"/>
        <w:rPr>
          <w:rFonts w:ascii="仿宋_GB2312" w:eastAsia="仿宋_GB2312" w:hAnsi="宋体" w:cs="宋体"/>
          <w:color w:val="000000"/>
          <w:kern w:val="0"/>
          <w:sz w:val="32"/>
          <w:szCs w:val="32"/>
          <w:shd w:val="clear" w:color="auto" w:fill="FFFFFF"/>
        </w:rPr>
      </w:pPr>
    </w:p>
    <w:p w:rsidR="001B2F6E" w:rsidRDefault="001B2F6E" w:rsidP="001B2F6E">
      <w:pPr>
        <w:widowControl/>
        <w:snapToGrid w:val="0"/>
        <w:spacing w:line="560" w:lineRule="exact"/>
        <w:jc w:val="left"/>
        <w:rPr>
          <w:rFonts w:ascii="仿宋_GB2312" w:eastAsia="仿宋_GB2312" w:hAnsi="黑体" w:cs="宋体"/>
          <w:color w:val="000000"/>
          <w:kern w:val="0"/>
          <w:sz w:val="32"/>
          <w:szCs w:val="32"/>
        </w:rPr>
      </w:pPr>
      <w:r>
        <w:rPr>
          <w:rFonts w:ascii="仿宋_GB2312" w:eastAsia="仿宋_GB2312" w:hAnsi="宋体" w:cs="宋体"/>
          <w:color w:val="000000"/>
          <w:kern w:val="0"/>
          <w:sz w:val="32"/>
          <w:szCs w:val="32"/>
          <w:shd w:val="clear" w:color="auto" w:fill="FFFFFF"/>
        </w:rPr>
        <w:br w:type="page"/>
      </w:r>
      <w:r>
        <w:rPr>
          <w:rFonts w:ascii="仿宋_GB2312" w:eastAsia="仿宋_GB2312" w:hAnsi="黑体" w:hint="eastAsia"/>
          <w:color w:val="000000"/>
          <w:kern w:val="0"/>
          <w:sz w:val="32"/>
          <w:szCs w:val="32"/>
        </w:rPr>
        <w:lastRenderedPageBreak/>
        <w:t>附件2</w:t>
      </w:r>
    </w:p>
    <w:p w:rsidR="001B2F6E" w:rsidRDefault="001B2F6E" w:rsidP="00B157C9">
      <w:pPr>
        <w:snapToGrid w:val="0"/>
        <w:spacing w:afterLines="50" w:line="312" w:lineRule="auto"/>
        <w:ind w:firstLineChars="400" w:firstLine="1440"/>
        <w:outlineLvl w:val="0"/>
        <w:rPr>
          <w:rFonts w:ascii="方正小标宋简体" w:eastAsia="方正小标宋简体" w:hAnsi="Times New Roman" w:cs="宋体"/>
          <w:color w:val="000000"/>
          <w:kern w:val="0"/>
          <w:sz w:val="36"/>
          <w:szCs w:val="36"/>
        </w:rPr>
      </w:pPr>
      <w:r>
        <w:rPr>
          <w:rFonts w:ascii="方正小标宋简体" w:eastAsia="方正小标宋简体" w:hAnsi="Times New Roman" w:cs="宋体" w:hint="eastAsia"/>
          <w:color w:val="000000"/>
          <w:kern w:val="0"/>
          <w:sz w:val="36"/>
          <w:szCs w:val="36"/>
        </w:rPr>
        <w:t>“资源表”指标及相关内涵说明</w:t>
      </w:r>
    </w:p>
    <w:p w:rsidR="001B2F6E" w:rsidRDefault="001B2F6E" w:rsidP="001B2F6E">
      <w:pPr>
        <w:snapToGrid w:val="0"/>
        <w:spacing w:line="520" w:lineRule="exact"/>
        <w:ind w:firstLineChars="200" w:firstLine="640"/>
        <w:rPr>
          <w:rFonts w:ascii="仿宋_GB2312" w:eastAsia="仿宋_GB2312" w:hAnsi="宋体"/>
          <w:sz w:val="32"/>
          <w:szCs w:val="32"/>
        </w:rPr>
      </w:pPr>
      <w:r>
        <w:rPr>
          <w:rFonts w:ascii="仿宋_GB2312" w:eastAsia="仿宋_GB2312" w:hint="eastAsia"/>
          <w:color w:val="000000"/>
          <w:sz w:val="32"/>
          <w:szCs w:val="32"/>
        </w:rPr>
        <w:t>“资源表”系</w:t>
      </w:r>
      <w:r>
        <w:rPr>
          <w:rFonts w:ascii="仿宋_GB2312" w:eastAsia="仿宋_GB2312" w:hint="eastAsia"/>
          <w:sz w:val="32"/>
          <w:szCs w:val="32"/>
        </w:rPr>
        <w:t>反映高职院校基本办学条件的管理评价工具</w:t>
      </w:r>
      <w:r>
        <w:rPr>
          <w:rFonts w:ascii="仿宋_GB2312" w:eastAsia="仿宋_GB2312" w:hAnsi="宋体" w:hint="eastAsia"/>
          <w:sz w:val="32"/>
          <w:szCs w:val="32"/>
        </w:rPr>
        <w:t>。</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1.“生师比”=在校生数/教师总数</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2.“双师素质专任教师比例”=双师素质专任教师人数/专任教师数</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3.“专任教师人均企业实践时间”=校内专任教师行业企业一线工作时间总数/专任教师数</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企业兼职教师专业课课时占比”=企业兼职教师承担的专业课课时总数/专业课课时总数。“高等职业院校人才培养工作状态数据”中的课程分为“纯理论课”（A类）、“实践+理论课”（B类）和“纯实践课”（C类）三种，此处的专业课课时为“纯实践课”（C类）课时与“实践+理论课”（B类）课时之和。</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生均教学科研仪器设备值”=教学科研仪器设备值/在校生数。学校在公布“生均教学科研仪器设备值”时，请以注释的形式注明学校类别：综合、师范、民族类院校，工科类院校，农林类院校，医学类院校，财经、政法类院校以及体育、艺术类院校等。</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6.“生均校内实践教学工位数”=校内实践教学工位总数/在校生数。其中，工位数以“高等职业院校人才培养工作状态数据”填报数为准。</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7.“生均校外实习实训基地实习时间”=校外实习实训基地使用时间总数/在校生数</w:t>
      </w:r>
    </w:p>
    <w:p w:rsidR="001B2F6E" w:rsidRDefault="001B2F6E" w:rsidP="001B2F6E">
      <w:pPr>
        <w:widowControl/>
        <w:snapToGrid w:val="0"/>
        <w:spacing w:line="520" w:lineRule="exact"/>
        <w:ind w:firstLineChars="200" w:firstLine="640"/>
        <w:rPr>
          <w:rFonts w:ascii="仿宋_GB2312" w:eastAsia="仿宋_GB2312" w:hAnsi="宋体" w:cs="宋体"/>
          <w:color w:val="000000"/>
          <w:kern w:val="0"/>
          <w:sz w:val="32"/>
          <w:szCs w:val="32"/>
        </w:rPr>
      </w:pPr>
    </w:p>
    <w:p w:rsidR="001B2F6E" w:rsidRDefault="001B2F6E" w:rsidP="001B2F6E">
      <w:pPr>
        <w:widowControl/>
        <w:snapToGrid w:val="0"/>
        <w:spacing w:line="312" w:lineRule="auto"/>
        <w:jc w:val="center"/>
        <w:rPr>
          <w:rFonts w:ascii="黑体" w:eastAsia="黑体" w:hAnsi="黑体"/>
          <w:sz w:val="32"/>
          <w:szCs w:val="32"/>
        </w:rPr>
      </w:pPr>
      <w:r>
        <w:rPr>
          <w:rFonts w:ascii="黑体" w:eastAsia="黑体" w:hAnsi="黑体" w:hint="eastAsia"/>
          <w:sz w:val="32"/>
          <w:szCs w:val="32"/>
        </w:rPr>
        <w:lastRenderedPageBreak/>
        <w:t>表2 资源表</w:t>
      </w:r>
    </w:p>
    <w:tbl>
      <w:tblPr>
        <w:tblW w:w="8840" w:type="dxa"/>
        <w:tblLayout w:type="fixed"/>
        <w:tblLook w:val="04A0"/>
      </w:tblPr>
      <w:tblGrid>
        <w:gridCol w:w="756"/>
        <w:gridCol w:w="869"/>
        <w:gridCol w:w="436"/>
        <w:gridCol w:w="3599"/>
        <w:gridCol w:w="1078"/>
        <w:gridCol w:w="1051"/>
        <w:gridCol w:w="1051"/>
      </w:tblGrid>
      <w:tr w:rsidR="001B2F6E" w:rsidTr="00AF67D8">
        <w:trPr>
          <w:trHeight w:val="288"/>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院校代码</w:t>
            </w:r>
          </w:p>
        </w:tc>
        <w:tc>
          <w:tcPr>
            <w:tcW w:w="869"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院校名称</w:t>
            </w:r>
          </w:p>
        </w:tc>
        <w:tc>
          <w:tcPr>
            <w:tcW w:w="4035" w:type="dxa"/>
            <w:gridSpan w:val="2"/>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指标</w:t>
            </w:r>
          </w:p>
        </w:tc>
        <w:tc>
          <w:tcPr>
            <w:tcW w:w="1078"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单位</w:t>
            </w:r>
          </w:p>
        </w:tc>
        <w:tc>
          <w:tcPr>
            <w:tcW w:w="1051"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2014年</w:t>
            </w:r>
          </w:p>
        </w:tc>
        <w:tc>
          <w:tcPr>
            <w:tcW w:w="1051"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2015年</w:t>
            </w:r>
          </w:p>
        </w:tc>
      </w:tr>
      <w:tr w:rsidR="001B2F6E" w:rsidTr="00AF67D8">
        <w:trPr>
          <w:trHeight w:val="468"/>
        </w:trPr>
        <w:tc>
          <w:tcPr>
            <w:tcW w:w="756" w:type="dxa"/>
            <w:vMerge w:val="restart"/>
            <w:tcBorders>
              <w:top w:val="nil"/>
              <w:left w:val="single" w:sz="4" w:space="0" w:color="auto"/>
              <w:bottom w:val="single" w:sz="4" w:space="0" w:color="auto"/>
              <w:right w:val="single" w:sz="4" w:space="0" w:color="auto"/>
            </w:tcBorders>
            <w:shd w:val="clear" w:color="000000" w:fill="FFFFFF"/>
            <w:vAlign w:val="bottom"/>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869" w:type="dxa"/>
            <w:vMerge w:val="restart"/>
            <w:tcBorders>
              <w:top w:val="nil"/>
              <w:left w:val="single" w:sz="4" w:space="0" w:color="auto"/>
              <w:bottom w:val="single" w:sz="4" w:space="0" w:color="auto"/>
              <w:right w:val="single" w:sz="4" w:space="0" w:color="auto"/>
            </w:tcBorders>
            <w:shd w:val="clear" w:color="000000" w:fill="FFFFFF"/>
            <w:vAlign w:val="bottom"/>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生师比</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68"/>
        </w:trPr>
        <w:tc>
          <w:tcPr>
            <w:tcW w:w="756"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6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双师素质专任教师比例</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68"/>
        </w:trPr>
        <w:tc>
          <w:tcPr>
            <w:tcW w:w="756"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6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专任教师人均企业实践时间</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天</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68"/>
        </w:trPr>
        <w:tc>
          <w:tcPr>
            <w:tcW w:w="756"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6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企业兼职教师专业课课时占比</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68"/>
        </w:trPr>
        <w:tc>
          <w:tcPr>
            <w:tcW w:w="756"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6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生均教学科研仪器设备值</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元/生</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68"/>
        </w:trPr>
        <w:tc>
          <w:tcPr>
            <w:tcW w:w="756"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6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生均校内实践教学工位数</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个/生</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68"/>
        </w:trPr>
        <w:tc>
          <w:tcPr>
            <w:tcW w:w="756"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6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36"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w:t>
            </w:r>
          </w:p>
        </w:tc>
        <w:tc>
          <w:tcPr>
            <w:tcW w:w="359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生均校外实习实训基地实习时间</w:t>
            </w:r>
          </w:p>
        </w:tc>
        <w:tc>
          <w:tcPr>
            <w:tcW w:w="1078"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天/生</w:t>
            </w:r>
          </w:p>
        </w:tc>
        <w:tc>
          <w:tcPr>
            <w:tcW w:w="1051" w:type="dxa"/>
            <w:tcBorders>
              <w:top w:val="nil"/>
              <w:left w:val="nil"/>
              <w:bottom w:val="single" w:sz="4" w:space="0" w:color="auto"/>
              <w:right w:val="single" w:sz="4" w:space="0" w:color="auto"/>
            </w:tcBorders>
            <w:shd w:val="clear" w:color="000000" w:fill="FFFFFF"/>
            <w:vAlign w:val="bottom"/>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5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bl>
    <w:p w:rsidR="001B2F6E" w:rsidRDefault="001B2F6E" w:rsidP="001B2F6E">
      <w:pPr>
        <w:widowControl/>
        <w:snapToGrid w:val="0"/>
        <w:spacing w:line="312" w:lineRule="auto"/>
        <w:jc w:val="center"/>
        <w:rPr>
          <w:rFonts w:ascii="黑体" w:eastAsia="黑体" w:hAnsi="黑体"/>
          <w:sz w:val="32"/>
          <w:szCs w:val="32"/>
        </w:rPr>
      </w:pPr>
    </w:p>
    <w:p w:rsidR="001B2F6E" w:rsidRDefault="001B2F6E" w:rsidP="001B2F6E">
      <w:pPr>
        <w:rPr>
          <w:rFonts w:ascii="仿宋_GB2312" w:eastAsia="仿宋_GB2312"/>
          <w:sz w:val="32"/>
          <w:szCs w:val="32"/>
        </w:rPr>
      </w:pPr>
      <w:r>
        <w:rPr>
          <w:rFonts w:ascii="仿宋_GB2312" w:eastAsia="仿宋_GB2312" w:hAnsi="宋体" w:cs="宋体"/>
          <w:color w:val="000000"/>
          <w:kern w:val="0"/>
          <w:sz w:val="29"/>
          <w:szCs w:val="29"/>
        </w:rPr>
        <w:br w:type="page"/>
      </w:r>
      <w:r>
        <w:rPr>
          <w:rFonts w:ascii="仿宋_GB2312" w:eastAsia="仿宋_GB2312" w:hint="eastAsia"/>
          <w:sz w:val="32"/>
          <w:szCs w:val="32"/>
        </w:rPr>
        <w:lastRenderedPageBreak/>
        <w:t>附件3</w:t>
      </w:r>
    </w:p>
    <w:p w:rsidR="001B2F6E" w:rsidRDefault="001B2F6E" w:rsidP="00B157C9">
      <w:pPr>
        <w:snapToGrid w:val="0"/>
        <w:spacing w:afterLines="50"/>
        <w:ind w:firstLineChars="400" w:firstLine="1440"/>
        <w:outlineLvl w:val="0"/>
        <w:rPr>
          <w:rFonts w:ascii="方正小标宋简体" w:eastAsia="方正小标宋简体" w:hAnsi="Times New Roman" w:cs="宋体"/>
          <w:color w:val="000000"/>
          <w:kern w:val="0"/>
          <w:sz w:val="36"/>
          <w:szCs w:val="36"/>
        </w:rPr>
      </w:pPr>
      <w:r>
        <w:rPr>
          <w:rFonts w:ascii="方正小标宋简体" w:eastAsia="方正小标宋简体" w:hAnsi="Times New Roman" w:cs="宋体" w:hint="eastAsia"/>
          <w:color w:val="000000"/>
          <w:kern w:val="0"/>
          <w:sz w:val="36"/>
          <w:szCs w:val="36"/>
        </w:rPr>
        <w:t>“服务贡献表”指标及相关内涵说明</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“服务贡献表”系反映高职院校服务地方和行业发展的管理评价工具。</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1.毕业生就业去向分为三类：A类是毕业生留在当地（公办学校：如省级财政投入经费的以省域为“当地”，地级财政投入经费以地级市域为“当地”，以此类推；民办学校：以学校所在地为“当地”，如有异地校区则分别统计）就业的比例；B类是毕业生到中小微企业（具体标准参见《关于印发中小企业划型标准规定的通知》（工信部联企业〔2011〕300号））服务的比例；C类是学校毕业生到国家骨干企业（主要指中央企业和行业龙头企业）就业的比例。各高职院校根据实际需分别填写以上三类，总和不受100%约束。各地在本省质量年报中可汇总分析本省高职院校三个类别的情况。</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2.“横向技术服务到款额”指为行业企业提供科研、培训等技术服务已到账的收入。</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3.“纵向科研经费到款额”指政府有关部门计划委托项目已到账的收入。</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4.“技术交易到款额”指技术转让及技术许可中已经到账的收入。</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5.“非学历培训到款额”指为社会进行的非学历性培训已到账的收入。</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6.“公益性培训服务”指为社会进行的免费培训的规模。</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sz w:val="32"/>
          <w:szCs w:val="32"/>
        </w:rPr>
        <w:br w:type="page"/>
      </w:r>
    </w:p>
    <w:p w:rsidR="001B2F6E" w:rsidRDefault="001B2F6E" w:rsidP="001B2F6E">
      <w:pPr>
        <w:widowControl/>
        <w:snapToGrid w:val="0"/>
        <w:spacing w:line="312" w:lineRule="auto"/>
        <w:jc w:val="center"/>
        <w:rPr>
          <w:rFonts w:ascii="黑体" w:eastAsia="黑体" w:hAnsi="黑体"/>
          <w:sz w:val="32"/>
          <w:szCs w:val="32"/>
        </w:rPr>
      </w:pPr>
      <w:r>
        <w:rPr>
          <w:rFonts w:ascii="黑体" w:eastAsia="黑体" w:hAnsi="黑体" w:hint="eastAsia"/>
          <w:sz w:val="32"/>
          <w:szCs w:val="32"/>
        </w:rPr>
        <w:lastRenderedPageBreak/>
        <w:t>表3 服务贡献表</w:t>
      </w:r>
    </w:p>
    <w:tbl>
      <w:tblPr>
        <w:tblW w:w="8926" w:type="dxa"/>
        <w:jc w:val="center"/>
        <w:tblLayout w:type="fixed"/>
        <w:tblLook w:val="04A0"/>
      </w:tblPr>
      <w:tblGrid>
        <w:gridCol w:w="797"/>
        <w:gridCol w:w="838"/>
        <w:gridCol w:w="365"/>
        <w:gridCol w:w="4154"/>
        <w:gridCol w:w="803"/>
        <w:gridCol w:w="984"/>
        <w:gridCol w:w="985"/>
      </w:tblGrid>
      <w:tr w:rsidR="001B2F6E" w:rsidTr="00AF67D8">
        <w:trPr>
          <w:trHeight w:val="48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院校代码</w:t>
            </w:r>
          </w:p>
        </w:tc>
        <w:tc>
          <w:tcPr>
            <w:tcW w:w="838"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院校名称</w:t>
            </w:r>
          </w:p>
        </w:tc>
        <w:tc>
          <w:tcPr>
            <w:tcW w:w="4519" w:type="dxa"/>
            <w:gridSpan w:val="2"/>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指标</w:t>
            </w:r>
          </w:p>
        </w:tc>
        <w:tc>
          <w:tcPr>
            <w:tcW w:w="803"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单位</w:t>
            </w:r>
          </w:p>
        </w:tc>
        <w:tc>
          <w:tcPr>
            <w:tcW w:w="984"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2014年</w:t>
            </w:r>
          </w:p>
        </w:tc>
        <w:tc>
          <w:tcPr>
            <w:tcW w:w="985"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2015年</w:t>
            </w:r>
          </w:p>
        </w:tc>
      </w:tr>
      <w:tr w:rsidR="001B2F6E" w:rsidTr="00AF67D8">
        <w:trPr>
          <w:trHeight w:val="420"/>
          <w:jc w:val="center"/>
        </w:trPr>
        <w:tc>
          <w:tcPr>
            <w:tcW w:w="797" w:type="dxa"/>
            <w:vMerge w:val="restart"/>
            <w:tcBorders>
              <w:top w:val="nil"/>
              <w:left w:val="single" w:sz="4" w:space="0" w:color="auto"/>
              <w:bottom w:val="single" w:sz="4" w:space="0" w:color="auto"/>
              <w:right w:val="single" w:sz="4" w:space="0" w:color="auto"/>
            </w:tcBorders>
            <w:shd w:val="clear" w:color="000000" w:fill="FFFFFF"/>
            <w:vAlign w:val="bottom"/>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838" w:type="dxa"/>
            <w:vMerge w:val="restart"/>
            <w:tcBorders>
              <w:top w:val="nil"/>
              <w:left w:val="single" w:sz="4" w:space="0" w:color="auto"/>
              <w:bottom w:val="single" w:sz="4" w:space="0" w:color="auto"/>
              <w:right w:val="single" w:sz="4" w:space="0" w:color="auto"/>
            </w:tcBorders>
            <w:shd w:val="clear" w:color="000000" w:fill="FFFFFF"/>
            <w:vAlign w:val="bottom"/>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365" w:type="dxa"/>
            <w:vMerge w:val="restart"/>
            <w:tcBorders>
              <w:top w:val="nil"/>
              <w:left w:val="single" w:sz="4" w:space="0" w:color="auto"/>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毕业生人数（合计）</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w:t>
            </w:r>
          </w:p>
        </w:tc>
        <w:tc>
          <w:tcPr>
            <w:tcW w:w="984" w:type="dxa"/>
            <w:tcBorders>
              <w:top w:val="nil"/>
              <w:left w:val="nil"/>
              <w:bottom w:val="single" w:sz="4" w:space="0" w:color="auto"/>
              <w:right w:val="single" w:sz="4" w:space="0" w:color="auto"/>
            </w:tcBorders>
            <w:shd w:val="clear" w:color="000000" w:fill="FFFFFF"/>
            <w:vAlign w:val="bottom"/>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bottom"/>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其中：就业人数（合计）</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8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毕业生就业去向（以下三类都填，总和不受100%约束）：</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A类:留在当地就业比例</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B类:到中小微企业等基层服务比例</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C类:到国家骨干企业就业比例</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横向技术服务到款额</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万元</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纵向科研经费到款额</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万元</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技术交易到款额</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万元</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非学历培训到款额</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万元</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420"/>
          <w:jc w:val="center"/>
        </w:trPr>
        <w:tc>
          <w:tcPr>
            <w:tcW w:w="797"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jc w:val="left"/>
              <w:rPr>
                <w:rFonts w:ascii="仿宋" w:eastAsia="仿宋" w:hAnsi="仿宋" w:cs="宋体"/>
                <w:color w:val="000000"/>
                <w:kern w:val="0"/>
                <w:sz w:val="24"/>
                <w:szCs w:val="24"/>
              </w:rPr>
            </w:pPr>
          </w:p>
        </w:tc>
        <w:tc>
          <w:tcPr>
            <w:tcW w:w="36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415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公益性培训服务</w:t>
            </w:r>
          </w:p>
        </w:tc>
        <w:tc>
          <w:tcPr>
            <w:tcW w:w="803"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人日</w:t>
            </w:r>
          </w:p>
        </w:tc>
        <w:tc>
          <w:tcPr>
            <w:tcW w:w="98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985"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240"/>
          <w:jc w:val="center"/>
        </w:trPr>
        <w:tc>
          <w:tcPr>
            <w:tcW w:w="797" w:type="dxa"/>
            <w:vMerge/>
            <w:tcBorders>
              <w:top w:val="nil"/>
              <w:left w:val="single" w:sz="4" w:space="0" w:color="auto"/>
              <w:bottom w:val="single" w:sz="4" w:space="0" w:color="auto"/>
              <w:right w:val="single" w:sz="4" w:space="0" w:color="auto"/>
            </w:tcBorders>
            <w:vAlign w:val="center"/>
          </w:tcPr>
          <w:p w:rsidR="001B2F6E" w:rsidRDefault="001B2F6E" w:rsidP="00AF67D8">
            <w:pPr>
              <w:widowControl/>
              <w:jc w:val="left"/>
              <w:rPr>
                <w:rFonts w:ascii="仿宋" w:eastAsia="仿宋" w:hAnsi="仿宋" w:cs="宋体"/>
                <w:color w:val="000000"/>
                <w:kern w:val="0"/>
                <w:sz w:val="24"/>
                <w:szCs w:val="24"/>
              </w:rPr>
            </w:pPr>
          </w:p>
        </w:tc>
        <w:tc>
          <w:tcPr>
            <w:tcW w:w="838" w:type="dxa"/>
            <w:vMerge/>
            <w:tcBorders>
              <w:top w:val="nil"/>
              <w:left w:val="single" w:sz="4" w:space="0" w:color="auto"/>
              <w:bottom w:val="single" w:sz="4" w:space="0" w:color="auto"/>
              <w:right w:val="single" w:sz="4" w:space="0" w:color="auto"/>
            </w:tcBorders>
            <w:vAlign w:val="center"/>
          </w:tcPr>
          <w:p w:rsidR="001B2F6E" w:rsidRDefault="001B2F6E" w:rsidP="00AF67D8">
            <w:pPr>
              <w:widowControl/>
              <w:jc w:val="left"/>
              <w:rPr>
                <w:rFonts w:ascii="仿宋" w:eastAsia="仿宋" w:hAnsi="仿宋" w:cs="宋体"/>
                <w:color w:val="000000"/>
                <w:kern w:val="0"/>
                <w:sz w:val="24"/>
                <w:szCs w:val="24"/>
              </w:rPr>
            </w:pPr>
          </w:p>
        </w:tc>
        <w:tc>
          <w:tcPr>
            <w:tcW w:w="7291" w:type="dxa"/>
            <w:gridSpan w:val="5"/>
            <w:tcBorders>
              <w:top w:val="single" w:sz="4" w:space="0" w:color="auto"/>
              <w:left w:val="nil"/>
              <w:bottom w:val="single" w:sz="4" w:space="0" w:color="auto"/>
              <w:right w:val="single" w:sz="4" w:space="0" w:color="000000"/>
            </w:tcBorders>
            <w:vAlign w:val="bottom"/>
          </w:tcPr>
          <w:p w:rsidR="001B2F6E" w:rsidRDefault="001B2F6E" w:rsidP="00AF67D8">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主要办学经费来源（单选）：省      级（  ）    地市级（  ）</w:t>
            </w:r>
          </w:p>
          <w:p w:rsidR="001B2F6E" w:rsidRDefault="001B2F6E" w:rsidP="00AF67D8">
            <w:pPr>
              <w:widowControl/>
              <w:ind w:firstLineChars="1300" w:firstLine="31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行业或企业（  ）    其  他（  ）</w:t>
            </w:r>
          </w:p>
        </w:tc>
      </w:tr>
    </w:tbl>
    <w:p w:rsidR="001B2F6E" w:rsidRDefault="001B2F6E" w:rsidP="001B2F6E">
      <w:pPr>
        <w:rPr>
          <w:rFonts w:ascii="仿宋_GB2312" w:eastAsia="仿宋_GB2312" w:hAnsi="宋体" w:cs="宋体"/>
          <w:color w:val="000000"/>
          <w:kern w:val="0"/>
          <w:sz w:val="32"/>
          <w:szCs w:val="32"/>
          <w:shd w:val="clear" w:color="auto" w:fill="FFFFFF"/>
        </w:rPr>
      </w:pPr>
    </w:p>
    <w:p w:rsidR="001B2F6E" w:rsidRDefault="001B2F6E" w:rsidP="001B2F6E">
      <w:pPr>
        <w:rPr>
          <w:rFonts w:ascii="仿宋_GB2312" w:eastAsia="仿宋_GB2312"/>
          <w:sz w:val="32"/>
          <w:szCs w:val="32"/>
        </w:rPr>
      </w:pPr>
      <w:r>
        <w:rPr>
          <w:rFonts w:ascii="仿宋_GB2312" w:eastAsia="仿宋_GB2312"/>
          <w:sz w:val="32"/>
          <w:szCs w:val="32"/>
        </w:rPr>
        <w:br w:type="page"/>
      </w:r>
      <w:r>
        <w:rPr>
          <w:rFonts w:ascii="仿宋_GB2312" w:eastAsia="仿宋_GB2312" w:hint="eastAsia"/>
          <w:sz w:val="32"/>
          <w:szCs w:val="32"/>
        </w:rPr>
        <w:lastRenderedPageBreak/>
        <w:t>附件4</w:t>
      </w:r>
    </w:p>
    <w:p w:rsidR="001B2F6E" w:rsidRDefault="001B2F6E" w:rsidP="00B157C9">
      <w:pPr>
        <w:snapToGrid w:val="0"/>
        <w:spacing w:afterLines="50"/>
        <w:ind w:firstLineChars="400" w:firstLine="1440"/>
        <w:outlineLvl w:val="0"/>
        <w:rPr>
          <w:rFonts w:ascii="方正小标宋简体" w:eastAsia="方正小标宋简体" w:hAnsi="Times New Roman" w:cs="宋体"/>
          <w:color w:val="000000"/>
          <w:kern w:val="0"/>
          <w:sz w:val="36"/>
          <w:szCs w:val="36"/>
        </w:rPr>
      </w:pPr>
      <w:r>
        <w:rPr>
          <w:rFonts w:ascii="方正小标宋简体" w:eastAsia="方正小标宋简体" w:hAnsi="Times New Roman" w:cs="宋体" w:hint="eastAsia"/>
          <w:color w:val="000000"/>
          <w:kern w:val="0"/>
          <w:sz w:val="36"/>
          <w:szCs w:val="36"/>
        </w:rPr>
        <w:t>“落实政策表”指标及相关内涵说明</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“落实政策表”系通过院校数据反映政府落实国家发展高职教育政策情况的管理评价工具。</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1.“年生均财政拨款水平”：按照《财政部 教育部关于建立完善以改革和绩效为导向的生均拨款制度加快发展现代高等职业教育的意见》（财教〔2014〕352号）要求，“年生均财政拨款水平”是指政府收支分类科目“2050305高等职业教育”中，地方财政通过一般公共预算安排用于支持高职院校发展的经费，按全日制高等职业学历教育在校生人数折算的平均水平，包括基本支出和项目支出。</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2.“年生均财政专项经费”是指“年生均财政拨款水平”中的专项经费支出。</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3.“教职员工额定编制数”指人力资源保障部门核定的学校教职工编制数；“在岗教职员工总数”指学校在编在岗教职员工和编外聘用的教学、科研和行政岗位人员总数（不含编外聘用的工勤人员）。</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4.“生均企业实习财政经费补贴”指用于补贴学生企业实习的财政专项经费(补贴给学生个人或企业),按照实习学生人数折算的平均水平。如果没有单列财政专项则不填。</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5.“生均企业实习责任保险补贴”指用于补贴学生企业实习责任保险的财政教育经费，按照实习学生人数折算的平均水平。</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6.“企业兼职教师人均财政补贴”指用于支付企业兼职教师补贴的财政专项经费，按照企业兼职教师人数折算的平均水平。如没有单列财政专项经费则不填。</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lastRenderedPageBreak/>
        <w:t>7.“专任教师参加省级培训量”指学校专任教师参加的省级财政负担的培训项目的总量。</w:t>
      </w:r>
    </w:p>
    <w:p w:rsidR="001B2F6E" w:rsidRDefault="001B2F6E" w:rsidP="001B2F6E">
      <w:pPr>
        <w:spacing w:line="520" w:lineRule="exact"/>
        <w:ind w:firstLineChars="200" w:firstLine="640"/>
        <w:rPr>
          <w:rFonts w:ascii="仿宋_GB2312" w:eastAsia="仿宋_GB2312"/>
          <w:sz w:val="32"/>
          <w:szCs w:val="32"/>
        </w:rPr>
      </w:pPr>
    </w:p>
    <w:p w:rsidR="001B2F6E" w:rsidRDefault="001B2F6E" w:rsidP="001B2F6E">
      <w:pPr>
        <w:widowControl/>
        <w:snapToGrid w:val="0"/>
        <w:spacing w:line="312" w:lineRule="auto"/>
        <w:jc w:val="center"/>
        <w:rPr>
          <w:rFonts w:ascii="黑体" w:eastAsia="黑体" w:hAnsi="黑体"/>
          <w:sz w:val="32"/>
          <w:szCs w:val="32"/>
        </w:rPr>
      </w:pPr>
      <w:r>
        <w:rPr>
          <w:rFonts w:ascii="黑体" w:eastAsia="黑体" w:hAnsi="黑体" w:hint="eastAsia"/>
          <w:sz w:val="32"/>
          <w:szCs w:val="32"/>
        </w:rPr>
        <w:t>表4 落实政策表</w:t>
      </w:r>
    </w:p>
    <w:tbl>
      <w:tblPr>
        <w:tblW w:w="8884" w:type="dxa"/>
        <w:jc w:val="center"/>
        <w:tblLayout w:type="fixed"/>
        <w:tblLook w:val="04A0"/>
      </w:tblPr>
      <w:tblGrid>
        <w:gridCol w:w="793"/>
        <w:gridCol w:w="871"/>
        <w:gridCol w:w="329"/>
        <w:gridCol w:w="3824"/>
        <w:gridCol w:w="1034"/>
        <w:gridCol w:w="972"/>
        <w:gridCol w:w="1061"/>
      </w:tblGrid>
      <w:tr w:rsidR="001B2F6E" w:rsidTr="00AF67D8">
        <w:trPr>
          <w:trHeight w:val="480"/>
          <w:jc w:val="center"/>
        </w:trPr>
        <w:tc>
          <w:tcPr>
            <w:tcW w:w="793" w:type="dxa"/>
            <w:tcBorders>
              <w:top w:val="single" w:sz="4" w:space="0" w:color="auto"/>
              <w:left w:val="single" w:sz="4" w:space="0" w:color="auto"/>
              <w:bottom w:val="single" w:sz="4" w:space="0" w:color="auto"/>
              <w:right w:val="single" w:sz="4" w:space="0" w:color="auto"/>
            </w:tcBorders>
            <w:shd w:val="clear" w:color="000000" w:fill="FFFFFF"/>
            <w:vAlign w:val="center"/>
          </w:tcPr>
          <w:p w:rsidR="001B2F6E" w:rsidRDefault="001B2F6E" w:rsidP="00AF67D8">
            <w:pPr>
              <w:widowControl/>
              <w:spacing w:line="276" w:lineRule="auto"/>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院校代码</w:t>
            </w:r>
          </w:p>
        </w:tc>
        <w:tc>
          <w:tcPr>
            <w:tcW w:w="871"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spacing w:line="276" w:lineRule="auto"/>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院校名称</w:t>
            </w:r>
          </w:p>
        </w:tc>
        <w:tc>
          <w:tcPr>
            <w:tcW w:w="4153" w:type="dxa"/>
            <w:gridSpan w:val="2"/>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指标</w:t>
            </w:r>
          </w:p>
        </w:tc>
        <w:tc>
          <w:tcPr>
            <w:tcW w:w="1034"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单位</w:t>
            </w:r>
          </w:p>
        </w:tc>
        <w:tc>
          <w:tcPr>
            <w:tcW w:w="972"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2014年</w:t>
            </w:r>
          </w:p>
        </w:tc>
        <w:tc>
          <w:tcPr>
            <w:tcW w:w="1061" w:type="dxa"/>
            <w:tcBorders>
              <w:top w:val="single" w:sz="4" w:space="0" w:color="auto"/>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2015年</w:t>
            </w:r>
          </w:p>
        </w:tc>
      </w:tr>
      <w:tr w:rsidR="001B2F6E" w:rsidTr="00AF67D8">
        <w:trPr>
          <w:trHeight w:val="390"/>
          <w:jc w:val="center"/>
        </w:trPr>
        <w:tc>
          <w:tcPr>
            <w:tcW w:w="793" w:type="dxa"/>
            <w:vMerge w:val="restart"/>
            <w:tcBorders>
              <w:top w:val="nil"/>
              <w:left w:val="single" w:sz="4" w:space="0" w:color="auto"/>
              <w:bottom w:val="single" w:sz="4" w:space="0" w:color="auto"/>
              <w:right w:val="single" w:sz="4" w:space="0" w:color="auto"/>
            </w:tcBorders>
            <w:shd w:val="clear" w:color="000000" w:fill="FFFFFF"/>
            <w:vAlign w:val="bottom"/>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871" w:type="dxa"/>
            <w:vMerge w:val="restart"/>
            <w:tcBorders>
              <w:top w:val="nil"/>
              <w:left w:val="single" w:sz="4" w:space="0" w:color="auto"/>
              <w:bottom w:val="single" w:sz="4" w:space="0" w:color="auto"/>
              <w:right w:val="single" w:sz="4" w:space="0" w:color="auto"/>
            </w:tcBorders>
            <w:shd w:val="clear" w:color="000000" w:fill="FFFFFF"/>
            <w:vAlign w:val="bottom"/>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32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824" w:type="dxa"/>
            <w:tcBorders>
              <w:top w:val="nil"/>
              <w:left w:val="nil"/>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年生均财政拨款水平</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元</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824" w:type="dxa"/>
            <w:tcBorders>
              <w:top w:val="nil"/>
              <w:left w:val="nil"/>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其中：年生均财政专项经费</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元</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vMerge w:val="restart"/>
            <w:tcBorders>
              <w:top w:val="nil"/>
              <w:left w:val="single" w:sz="4" w:space="0" w:color="auto"/>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教职员工额定编制数</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ind w:firstLineChars="100" w:firstLine="24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在岗教职员工总数</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生均实习企业财政经费补贴</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元/月</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生均企业实习责任保险补贴</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元</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6</w:t>
            </w: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企业兼职教师人均财政补贴</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元</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vMerge w:val="restart"/>
            <w:tcBorders>
              <w:top w:val="nil"/>
              <w:left w:val="single" w:sz="4" w:space="0" w:color="auto"/>
              <w:bottom w:val="single" w:sz="4" w:space="0" w:color="000000"/>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7</w:t>
            </w: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专任教师总数</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r w:rsidR="001B2F6E" w:rsidTr="00AF67D8">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29" w:type="dxa"/>
            <w:vMerge/>
            <w:tcBorders>
              <w:top w:val="nil"/>
              <w:left w:val="single" w:sz="4" w:space="0" w:color="auto"/>
              <w:bottom w:val="single" w:sz="4" w:space="0" w:color="000000"/>
              <w:right w:val="single" w:sz="4" w:space="0" w:color="auto"/>
            </w:tcBorders>
            <w:shd w:val="clear" w:color="auto" w:fill="auto"/>
            <w:vAlign w:val="center"/>
          </w:tcPr>
          <w:p w:rsidR="001B2F6E" w:rsidRDefault="001B2F6E" w:rsidP="00AF67D8">
            <w:pPr>
              <w:widowControl/>
              <w:spacing w:line="360" w:lineRule="auto"/>
              <w:jc w:val="left"/>
              <w:rPr>
                <w:rFonts w:ascii="仿宋" w:eastAsia="仿宋" w:hAnsi="仿宋" w:cs="宋体"/>
                <w:color w:val="000000"/>
                <w:kern w:val="0"/>
                <w:sz w:val="24"/>
                <w:szCs w:val="24"/>
              </w:rPr>
            </w:pPr>
          </w:p>
        </w:tc>
        <w:tc>
          <w:tcPr>
            <w:tcW w:w="382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专任教师参加省级培训量</w:t>
            </w:r>
          </w:p>
        </w:tc>
        <w:tc>
          <w:tcPr>
            <w:tcW w:w="1034"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人日</w:t>
            </w:r>
          </w:p>
        </w:tc>
        <w:tc>
          <w:tcPr>
            <w:tcW w:w="972"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1B2F6E" w:rsidRDefault="001B2F6E" w:rsidP="00AF67D8">
            <w:pPr>
              <w:widowControl/>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r>
    </w:tbl>
    <w:p w:rsidR="001B2F6E" w:rsidRDefault="001B2F6E" w:rsidP="00B157C9">
      <w:pPr>
        <w:widowControl/>
        <w:snapToGrid w:val="0"/>
        <w:spacing w:line="520" w:lineRule="exact"/>
        <w:ind w:firstLineChars="200" w:firstLine="422"/>
        <w:rPr>
          <w:rFonts w:ascii="楷体" w:eastAsia="楷体" w:hAnsi="楷体"/>
          <w:b/>
          <w:color w:val="FF0000"/>
          <w:szCs w:val="21"/>
        </w:rPr>
      </w:pPr>
    </w:p>
    <w:p w:rsidR="001B2F6E" w:rsidRDefault="001B2F6E" w:rsidP="001B2F6E">
      <w:pPr>
        <w:widowControl/>
        <w:snapToGrid w:val="0"/>
        <w:spacing w:line="520" w:lineRule="exact"/>
        <w:rPr>
          <w:rFonts w:ascii="仿宋_GB2312" w:eastAsia="仿宋_GB2312"/>
          <w:sz w:val="32"/>
          <w:szCs w:val="32"/>
        </w:rPr>
      </w:pPr>
      <w:r>
        <w:rPr>
          <w:rFonts w:ascii="楷体" w:eastAsia="楷体" w:hAnsi="楷体"/>
          <w:b/>
          <w:color w:val="FF0000"/>
          <w:szCs w:val="21"/>
        </w:rPr>
        <w:br w:type="page"/>
      </w:r>
      <w:r>
        <w:rPr>
          <w:rFonts w:ascii="仿宋_GB2312" w:eastAsia="仿宋_GB2312" w:hint="eastAsia"/>
          <w:sz w:val="32"/>
          <w:szCs w:val="32"/>
        </w:rPr>
        <w:lastRenderedPageBreak/>
        <w:t>附件5</w:t>
      </w:r>
    </w:p>
    <w:p w:rsidR="001B2F6E" w:rsidRDefault="001B2F6E" w:rsidP="00B157C9">
      <w:pPr>
        <w:snapToGrid w:val="0"/>
        <w:spacing w:afterLines="50"/>
        <w:jc w:val="center"/>
        <w:outlineLvl w:val="0"/>
        <w:rPr>
          <w:rFonts w:ascii="方正小标宋简体" w:eastAsia="方正小标宋简体" w:hAnsi="Times New Roman" w:cs="宋体"/>
          <w:color w:val="000000"/>
          <w:kern w:val="0"/>
          <w:sz w:val="36"/>
          <w:szCs w:val="36"/>
        </w:rPr>
      </w:pPr>
      <w:r>
        <w:rPr>
          <w:rFonts w:ascii="方正小标宋简体" w:eastAsia="方正小标宋简体" w:hAnsi="Times New Roman" w:cs="宋体" w:hint="eastAsia"/>
          <w:color w:val="000000"/>
          <w:kern w:val="0"/>
          <w:sz w:val="36"/>
          <w:szCs w:val="36"/>
        </w:rPr>
        <w:t>填 写 说 明</w:t>
      </w:r>
    </w:p>
    <w:p w:rsidR="001B2F6E" w:rsidRDefault="001B2F6E" w:rsidP="001B2F6E">
      <w:pPr>
        <w:widowControl/>
        <w:snapToGrid w:val="0"/>
        <w:spacing w:line="520" w:lineRule="exact"/>
        <w:ind w:firstLineChars="200" w:firstLine="640"/>
        <w:rPr>
          <w:rFonts w:ascii="仿宋_GB2312" w:eastAsia="仿宋_GB2312"/>
          <w:sz w:val="32"/>
          <w:szCs w:val="32"/>
        </w:rPr>
      </w:pPr>
      <w:r>
        <w:rPr>
          <w:rFonts w:ascii="仿宋_GB2312" w:eastAsia="仿宋_GB2312" w:hAnsi="宋体" w:cs="宋体" w:hint="eastAsia"/>
          <w:color w:val="000000"/>
          <w:kern w:val="0"/>
          <w:sz w:val="32"/>
          <w:szCs w:val="32"/>
          <w:shd w:val="clear" w:color="auto" w:fill="FFFFFF"/>
        </w:rPr>
        <w:t>1.“计分卡”“资源表”“服务贡献表”和“落实政策表”中的</w:t>
      </w:r>
      <w:r>
        <w:rPr>
          <w:rFonts w:ascii="仿宋_GB2312" w:eastAsia="仿宋_GB2312" w:hint="eastAsia"/>
          <w:sz w:val="32"/>
          <w:szCs w:val="32"/>
        </w:rPr>
        <w:t>“院校代码”须与“高等职业院校人才培养工作状态数据”一致。</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2.“院校名称”须填写学校全称。</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3.相关数据须与“高等职业院校人才培养工作状态数据”一致。例如，“全日制高等职业学历教育在校生折算数”以状态数据平台填报数为准。</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4.除特别说明外，相关数据统计时限截止为至2015年9月1日。</w:t>
      </w:r>
    </w:p>
    <w:p w:rsidR="001B2F6E" w:rsidRDefault="001B2F6E" w:rsidP="001B2F6E">
      <w:pPr>
        <w:spacing w:line="520" w:lineRule="exact"/>
        <w:ind w:firstLineChars="200" w:firstLine="640"/>
        <w:rPr>
          <w:rFonts w:ascii="仿宋_GB2312" w:eastAsia="仿宋_GB2312"/>
          <w:sz w:val="32"/>
          <w:szCs w:val="32"/>
        </w:rPr>
      </w:pPr>
      <w:r>
        <w:rPr>
          <w:rFonts w:ascii="仿宋_GB2312" w:eastAsia="仿宋_GB2312" w:hint="eastAsia"/>
          <w:sz w:val="32"/>
          <w:szCs w:val="32"/>
        </w:rPr>
        <w:t>5.请注意对照表格中写明的计量单位，只填报数据不填数据单位，如有小数保留两位。</w:t>
      </w:r>
    </w:p>
    <w:p w:rsidR="001B2F6E" w:rsidRDefault="001B2F6E" w:rsidP="001B2F6E">
      <w:pPr>
        <w:widowControl/>
        <w:spacing w:line="560" w:lineRule="exact"/>
        <w:jc w:val="left"/>
        <w:rPr>
          <w:rFonts w:ascii="仿宋_GB2312" w:eastAsia="仿宋_GB2312"/>
          <w:color w:val="000000"/>
          <w:sz w:val="30"/>
          <w:szCs w:val="30"/>
        </w:rPr>
      </w:pPr>
    </w:p>
    <w:p w:rsidR="007E364A" w:rsidRPr="001B2F6E" w:rsidRDefault="007E364A" w:rsidP="00D45F02">
      <w:pPr>
        <w:spacing w:line="600" w:lineRule="exact"/>
        <w:rPr>
          <w:rFonts w:ascii="仿宋_GB2312" w:eastAsia="仿宋_GB2312"/>
          <w:sz w:val="32"/>
          <w:szCs w:val="32"/>
        </w:rPr>
      </w:pPr>
    </w:p>
    <w:sectPr w:rsidR="007E364A" w:rsidRPr="001B2F6E" w:rsidSect="007E364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A4C" w:rsidRDefault="00C94A4C" w:rsidP="00390186">
      <w:r>
        <w:separator/>
      </w:r>
    </w:p>
  </w:endnote>
  <w:endnote w:type="continuationSeparator" w:id="1">
    <w:p w:rsidR="00C94A4C" w:rsidRDefault="00C94A4C" w:rsidP="003901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2501"/>
      <w:docPartObj>
        <w:docPartGallery w:val="Page Numbers (Bottom of Page)"/>
        <w:docPartUnique/>
      </w:docPartObj>
    </w:sdtPr>
    <w:sdtContent>
      <w:p w:rsidR="00390186" w:rsidRDefault="006E3245">
        <w:pPr>
          <w:pStyle w:val="a5"/>
          <w:jc w:val="center"/>
        </w:pPr>
        <w:fldSimple w:instr=" PAGE   \* MERGEFORMAT ">
          <w:r w:rsidR="00126EA7" w:rsidRPr="00126EA7">
            <w:rPr>
              <w:noProof/>
              <w:lang w:val="zh-CN"/>
            </w:rPr>
            <w:t>1</w:t>
          </w:r>
        </w:fldSimple>
      </w:p>
    </w:sdtContent>
  </w:sdt>
  <w:p w:rsidR="00390186" w:rsidRDefault="003901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A4C" w:rsidRDefault="00C94A4C" w:rsidP="00390186">
      <w:r>
        <w:separator/>
      </w:r>
    </w:p>
  </w:footnote>
  <w:footnote w:type="continuationSeparator" w:id="1">
    <w:p w:rsidR="00C94A4C" w:rsidRDefault="00C94A4C" w:rsidP="003901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5F02"/>
    <w:rsid w:val="0008388B"/>
    <w:rsid w:val="00126EA7"/>
    <w:rsid w:val="001B2F6E"/>
    <w:rsid w:val="001E6997"/>
    <w:rsid w:val="00390186"/>
    <w:rsid w:val="005F3513"/>
    <w:rsid w:val="00692858"/>
    <w:rsid w:val="006E3245"/>
    <w:rsid w:val="007E364A"/>
    <w:rsid w:val="00992A43"/>
    <w:rsid w:val="00A2747B"/>
    <w:rsid w:val="00A76A3B"/>
    <w:rsid w:val="00B157C9"/>
    <w:rsid w:val="00C11E81"/>
    <w:rsid w:val="00C12B1E"/>
    <w:rsid w:val="00C26826"/>
    <w:rsid w:val="00C94A4C"/>
    <w:rsid w:val="00CA0D92"/>
    <w:rsid w:val="00D45F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64A"/>
    <w:pPr>
      <w:widowControl w:val="0"/>
      <w:jc w:val="both"/>
    </w:pPr>
  </w:style>
  <w:style w:type="paragraph" w:styleId="5">
    <w:name w:val="heading 5"/>
    <w:basedOn w:val="a"/>
    <w:link w:val="5Char"/>
    <w:uiPriority w:val="9"/>
    <w:qFormat/>
    <w:rsid w:val="00D45F02"/>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uiPriority w:val="9"/>
    <w:rsid w:val="00D45F02"/>
    <w:rPr>
      <w:rFonts w:ascii="宋体" w:eastAsia="宋体" w:hAnsi="宋体" w:cs="宋体"/>
      <w:b/>
      <w:bCs/>
      <w:kern w:val="0"/>
      <w:sz w:val="20"/>
      <w:szCs w:val="20"/>
    </w:rPr>
  </w:style>
  <w:style w:type="character" w:styleId="a3">
    <w:name w:val="Hyperlink"/>
    <w:basedOn w:val="a0"/>
    <w:uiPriority w:val="99"/>
    <w:semiHidden/>
    <w:unhideWhenUsed/>
    <w:rsid w:val="00D45F02"/>
    <w:rPr>
      <w:b w:val="0"/>
      <w:bCs w:val="0"/>
      <w:strike w:val="0"/>
      <w:dstrike w:val="0"/>
      <w:color w:val="333333"/>
      <w:sz w:val="21"/>
      <w:szCs w:val="21"/>
      <w:u w:val="none"/>
      <w:effect w:val="none"/>
    </w:rPr>
  </w:style>
  <w:style w:type="paragraph" w:styleId="a4">
    <w:name w:val="header"/>
    <w:basedOn w:val="a"/>
    <w:link w:val="Char"/>
    <w:uiPriority w:val="99"/>
    <w:semiHidden/>
    <w:unhideWhenUsed/>
    <w:rsid w:val="003901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90186"/>
    <w:rPr>
      <w:sz w:val="18"/>
      <w:szCs w:val="18"/>
    </w:rPr>
  </w:style>
  <w:style w:type="paragraph" w:styleId="a5">
    <w:name w:val="footer"/>
    <w:basedOn w:val="a"/>
    <w:link w:val="Char0"/>
    <w:uiPriority w:val="99"/>
    <w:unhideWhenUsed/>
    <w:rsid w:val="00390186"/>
    <w:pPr>
      <w:tabs>
        <w:tab w:val="center" w:pos="4153"/>
        <w:tab w:val="right" w:pos="8306"/>
      </w:tabs>
      <w:snapToGrid w:val="0"/>
      <w:jc w:val="left"/>
    </w:pPr>
    <w:rPr>
      <w:sz w:val="18"/>
      <w:szCs w:val="18"/>
    </w:rPr>
  </w:style>
  <w:style w:type="character" w:customStyle="1" w:styleId="Char0">
    <w:name w:val="页脚 Char"/>
    <w:basedOn w:val="a0"/>
    <w:link w:val="a5"/>
    <w:uiPriority w:val="99"/>
    <w:rsid w:val="00390186"/>
    <w:rPr>
      <w:sz w:val="18"/>
      <w:szCs w:val="18"/>
    </w:rPr>
  </w:style>
</w:styles>
</file>

<file path=word/webSettings.xml><?xml version="1.0" encoding="utf-8"?>
<w:webSettings xmlns:r="http://schemas.openxmlformats.org/officeDocument/2006/relationships" xmlns:w="http://schemas.openxmlformats.org/wordprocessingml/2006/main">
  <w:divs>
    <w:div w:id="731318443">
      <w:bodyDiv w:val="1"/>
      <w:marLeft w:val="0"/>
      <w:marRight w:val="0"/>
      <w:marTop w:val="0"/>
      <w:marBottom w:val="0"/>
      <w:divBdr>
        <w:top w:val="none" w:sz="0" w:space="0" w:color="auto"/>
        <w:left w:val="none" w:sz="0" w:space="0" w:color="auto"/>
        <w:bottom w:val="none" w:sz="0" w:space="0" w:color="auto"/>
        <w:right w:val="none" w:sz="0" w:space="0" w:color="auto"/>
      </w:divBdr>
      <w:divsChild>
        <w:div w:id="1937130892">
          <w:marLeft w:val="0"/>
          <w:marRight w:val="0"/>
          <w:marTop w:val="0"/>
          <w:marBottom w:val="0"/>
          <w:divBdr>
            <w:top w:val="single" w:sz="6" w:space="0" w:color="E1E1E1"/>
            <w:left w:val="none" w:sz="0" w:space="0" w:color="auto"/>
            <w:bottom w:val="single" w:sz="36" w:space="0" w:color="0F84E7"/>
            <w:right w:val="none" w:sz="0" w:space="0" w:color="auto"/>
          </w:divBdr>
          <w:divsChild>
            <w:div w:id="2120442920">
              <w:marLeft w:val="0"/>
              <w:marRight w:val="0"/>
              <w:marTop w:val="0"/>
              <w:marBottom w:val="0"/>
              <w:divBdr>
                <w:top w:val="none" w:sz="0" w:space="0" w:color="auto"/>
                <w:left w:val="none" w:sz="0" w:space="0" w:color="auto"/>
                <w:bottom w:val="none" w:sz="0" w:space="0" w:color="auto"/>
                <w:right w:val="none" w:sz="0" w:space="0" w:color="auto"/>
              </w:divBdr>
              <w:divsChild>
                <w:div w:id="1018777015">
                  <w:marLeft w:val="4800"/>
                  <w:marRight w:val="0"/>
                  <w:marTop w:val="0"/>
                  <w:marBottom w:val="0"/>
                  <w:divBdr>
                    <w:top w:val="none" w:sz="0" w:space="0" w:color="auto"/>
                    <w:left w:val="none" w:sz="0" w:space="0" w:color="auto"/>
                    <w:bottom w:val="none" w:sz="0" w:space="0" w:color="auto"/>
                    <w:right w:val="none" w:sz="0" w:space="0" w:color="auto"/>
                  </w:divBdr>
                  <w:divsChild>
                    <w:div w:id="422335675">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531140380">
      <w:bodyDiv w:val="1"/>
      <w:marLeft w:val="0"/>
      <w:marRight w:val="0"/>
      <w:marTop w:val="0"/>
      <w:marBottom w:val="0"/>
      <w:divBdr>
        <w:top w:val="none" w:sz="0" w:space="0" w:color="auto"/>
        <w:left w:val="none" w:sz="0" w:space="0" w:color="auto"/>
        <w:bottom w:val="none" w:sz="0" w:space="0" w:color="auto"/>
        <w:right w:val="none" w:sz="0" w:space="0" w:color="auto"/>
      </w:divBdr>
      <w:divsChild>
        <w:div w:id="321740292">
          <w:marLeft w:val="0"/>
          <w:marRight w:val="0"/>
          <w:marTop w:val="0"/>
          <w:marBottom w:val="0"/>
          <w:divBdr>
            <w:top w:val="single" w:sz="6" w:space="0" w:color="E1E1E1"/>
            <w:left w:val="none" w:sz="0" w:space="0" w:color="auto"/>
            <w:bottom w:val="single" w:sz="36" w:space="0" w:color="0F84E7"/>
            <w:right w:val="none" w:sz="0" w:space="0" w:color="auto"/>
          </w:divBdr>
          <w:divsChild>
            <w:div w:id="508251055">
              <w:marLeft w:val="0"/>
              <w:marRight w:val="0"/>
              <w:marTop w:val="0"/>
              <w:marBottom w:val="0"/>
              <w:divBdr>
                <w:top w:val="none" w:sz="0" w:space="0" w:color="auto"/>
                <w:left w:val="none" w:sz="0" w:space="0" w:color="auto"/>
                <w:bottom w:val="none" w:sz="0" w:space="0" w:color="auto"/>
                <w:right w:val="none" w:sz="0" w:space="0" w:color="auto"/>
              </w:divBdr>
              <w:divsChild>
                <w:div w:id="1100950098">
                  <w:marLeft w:val="4800"/>
                  <w:marRight w:val="0"/>
                  <w:marTop w:val="0"/>
                  <w:marBottom w:val="0"/>
                  <w:divBdr>
                    <w:top w:val="none" w:sz="0" w:space="0" w:color="auto"/>
                    <w:left w:val="none" w:sz="0" w:space="0" w:color="auto"/>
                    <w:bottom w:val="none" w:sz="0" w:space="0" w:color="auto"/>
                    <w:right w:val="none" w:sz="0" w:space="0" w:color="auto"/>
                  </w:divBdr>
                  <w:divsChild>
                    <w:div w:id="1499343900">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751</Words>
  <Characters>4281</Characters>
  <Application>Microsoft Office Word</Application>
  <DocSecurity>0</DocSecurity>
  <Lines>35</Lines>
  <Paragraphs>10</Paragraphs>
  <ScaleCrop>false</ScaleCrop>
  <Company>FiSh'S WebSite 徐晓维</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why</dc:creator>
  <cp:keywords/>
  <dc:description/>
  <cp:lastModifiedBy>lenovo</cp:lastModifiedBy>
  <cp:revision>2</cp:revision>
  <dcterms:created xsi:type="dcterms:W3CDTF">2015-11-17T03:12:00Z</dcterms:created>
  <dcterms:modified xsi:type="dcterms:W3CDTF">2015-11-17T03:12:00Z</dcterms:modified>
</cp:coreProperties>
</file>