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附件4：</w:t>
      </w:r>
    </w:p>
    <w:p>
      <w:pPr>
        <w:snapToGrid w:val="0"/>
        <w:spacing w:line="500" w:lineRule="exact"/>
        <w:ind w:firstLine="72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</w:rPr>
        <w:t>福建省职业教育精品在线开放课程建设指南（试行）</w:t>
      </w:r>
      <w:bookmarkEnd w:id="0"/>
    </w:p>
    <w:p>
      <w:pPr>
        <w:snapToGrid w:val="0"/>
        <w:spacing w:line="500" w:lineRule="exact"/>
        <w:ind w:firstLine="720"/>
        <w:jc w:val="center"/>
        <w:rPr>
          <w:rFonts w:ascii="仿宋" w:hAnsi="仿宋" w:eastAsia="仿宋" w:cs="Times New Roman"/>
          <w:bCs/>
          <w:sz w:val="32"/>
          <w:szCs w:val="32"/>
        </w:rPr>
      </w:pPr>
    </w:p>
    <w:p>
      <w:pPr>
        <w:snapToGrid w:val="0"/>
        <w:spacing w:line="540" w:lineRule="exact"/>
        <w:ind w:firstLine="720"/>
        <w:rPr>
          <w:rFonts w:hint="eastAsia" w:ascii="黑体" w:hAnsi="仿宋" w:eastAsia="黑体" w:cs="Times New Roman"/>
          <w:bCs/>
          <w:sz w:val="30"/>
          <w:szCs w:val="30"/>
        </w:rPr>
      </w:pPr>
      <w:r>
        <w:rPr>
          <w:rFonts w:hint="eastAsia" w:ascii="黑体" w:hAnsi="仿宋" w:eastAsia="黑体" w:cs="Times New Roman"/>
          <w:bCs/>
          <w:sz w:val="30"/>
          <w:szCs w:val="30"/>
        </w:rPr>
        <w:t>一、</w:t>
      </w:r>
      <w:r>
        <w:rPr>
          <w:rFonts w:hint="eastAsia" w:ascii="黑体" w:hAnsi="仿宋" w:eastAsia="黑体" w:cs="Times New Roman"/>
          <w:sz w:val="30"/>
          <w:szCs w:val="30"/>
        </w:rPr>
        <w:t>课程建设总体要求</w:t>
      </w:r>
    </w:p>
    <w:p>
      <w:pPr>
        <w:snapToGrid w:val="0"/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1. </w:t>
      </w:r>
      <w:r>
        <w:rPr>
          <w:rFonts w:hint="eastAsia" w:ascii="仿宋_GB2312" w:hAnsi="仿宋" w:eastAsia="仿宋_GB2312" w:cs="Times New Roman"/>
          <w:sz w:val="30"/>
          <w:szCs w:val="30"/>
        </w:rPr>
        <w:t>教学内容与资源</w:t>
      </w:r>
    </w:p>
    <w:p>
      <w:pPr>
        <w:snapToGrid w:val="0"/>
        <w:spacing w:line="540" w:lineRule="exact"/>
        <w:ind w:firstLine="64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省级精品在线开放课程应能够涵盖课程标准（或课程教学基本要求）规定内容、覆盖该课程所有知识点和岗位技能点，包含完整的教学内容和教学活动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>资源包括文本、图形（图像）、音视频和虚拟仿真等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应控制文本和图形（图像）资源在总资源中的占比，提高微课程、动画、虚拟仿真等资源比例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仿宋_GB2312" w:hAnsi="仿宋" w:eastAsia="仿宋_GB2312" w:cs="Times New Roman"/>
          <w:sz w:val="30"/>
          <w:szCs w:val="30"/>
        </w:rPr>
        <w:t>每个</w:t>
      </w:r>
      <w:r>
        <w:rPr>
          <w:rFonts w:ascii="Times New Roman" w:hAnsi="Times New Roman" w:eastAsia="仿宋_GB2312" w:cs="Times New Roman"/>
          <w:sz w:val="30"/>
          <w:szCs w:val="30"/>
        </w:rPr>
        <w:t>微课程</w:t>
      </w:r>
      <w:r>
        <w:rPr>
          <w:rFonts w:hint="eastAsia" w:ascii="仿宋_GB2312" w:hAnsi="仿宋" w:eastAsia="仿宋_GB2312" w:cs="Times New Roman"/>
          <w:sz w:val="30"/>
          <w:szCs w:val="30"/>
        </w:rPr>
        <w:t>视频以</w:t>
      </w:r>
      <w:r>
        <w:rPr>
          <w:rFonts w:ascii="仿宋_GB2312" w:hAnsi="仿宋" w:eastAsia="仿宋_GB2312" w:cs="Times New Roman"/>
          <w:sz w:val="30"/>
          <w:szCs w:val="30"/>
        </w:rPr>
        <w:t>5-15</w:t>
      </w:r>
      <w:r>
        <w:rPr>
          <w:rFonts w:hint="eastAsia" w:ascii="仿宋_GB2312" w:hAnsi="仿宋" w:eastAsia="仿宋_GB2312" w:cs="Times New Roman"/>
          <w:sz w:val="30"/>
          <w:szCs w:val="30"/>
        </w:rPr>
        <w:t>分钟时长为宜，针对各模块知识点（技能点）或专题应设置内嵌测试的作业题或讨论题，以帮助学习者掌握学习内容或测试学习者学习效果。每门课程应有负责人介绍、课程介绍、课程标准、预备知识、教学辅导、参考资料、考核方式、在线作业、在线题库和在线答疑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>申报学校应依据技术领域和职业岗位（群）的任职要求，参照相关职业资格标准，从职业岗位能力分析出发，基于工作过程系统等先进职教理念开发课程体系和改革教学内容，并将专业建设、课程改革成果应用到省级精品在线开放课程。</w:t>
      </w:r>
    </w:p>
    <w:p>
      <w:pPr>
        <w:snapToGrid w:val="0"/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2. </w:t>
      </w:r>
      <w:r>
        <w:rPr>
          <w:rFonts w:hint="eastAsia" w:ascii="仿宋_GB2312" w:hAnsi="仿宋" w:eastAsia="仿宋_GB2312" w:cs="Times New Roman"/>
          <w:sz w:val="30"/>
          <w:szCs w:val="30"/>
        </w:rPr>
        <w:t>教学设计与方法</w:t>
      </w:r>
    </w:p>
    <w:p>
      <w:pPr>
        <w:snapToGrid w:val="0"/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要遵循有效教学的基本规律，对接“二元制”和“</w:t>
      </w:r>
      <w:r>
        <w:rPr>
          <w:rFonts w:ascii="仿宋_GB2312" w:hAnsi="仿宋" w:eastAsia="仿宋_GB2312" w:cs="Times New Roman"/>
          <w:sz w:val="30"/>
          <w:szCs w:val="30"/>
        </w:rPr>
        <w:t>现代学徒制</w:t>
      </w:r>
      <w:r>
        <w:rPr>
          <w:rFonts w:hint="eastAsia" w:ascii="仿宋_GB2312" w:hAnsi="仿宋" w:eastAsia="仿宋_GB2312" w:cs="Times New Roman"/>
          <w:sz w:val="30"/>
          <w:szCs w:val="30"/>
        </w:rPr>
        <w:t>”培养模式，结合在线开放课程教学的特征与需求进行整体的教学设计。根据预设教学目标、课程特点、学生认知规律及教学方式，设置教学情境，颗粒化组织教学内容及资源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3. </w:t>
      </w:r>
      <w:r>
        <w:rPr>
          <w:rFonts w:hint="eastAsia" w:ascii="仿宋_GB2312" w:hAnsi="仿宋" w:eastAsia="仿宋_GB2312" w:cs="Times New Roman"/>
          <w:sz w:val="30"/>
          <w:szCs w:val="30"/>
        </w:rPr>
        <w:t>教学活动与评价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要重视学习任务与活动设计，积极开展案例式、混合式、探究式等多种教学模式的学习，通过网页插入式在线测试、即时网上辅导反馈、线上线下讨论、网上作业提交和批改、网上社区讨论等，促进师生之间、学生之间进行资源共享、问题交流和协作学习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要促进建立多元化学习评价体系，探索线上和线下融合，过程性评价与终结性评价相结合的多元化考核评价模式，促进学生自主性学习、过程性学习和体验式学习。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4. </w:t>
      </w:r>
      <w:r>
        <w:rPr>
          <w:rFonts w:hint="eastAsia" w:ascii="仿宋_GB2312" w:hAnsi="仿宋" w:eastAsia="仿宋_GB2312" w:cs="Times New Roman"/>
          <w:sz w:val="30"/>
          <w:szCs w:val="30"/>
        </w:rPr>
        <w:t>教学效果与影响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要注重对教学效果的跟踪评价并开展教学研究工作。基于大数据信息采集分析，全程记录和跟踪教师的教学和学生的学习过程、内容、反馈，全面跟踪和掌握每个学生的个性特点、学习行为，改进学校及教师的教学质量，促进因材施教。</w:t>
      </w:r>
    </w:p>
    <w:p>
      <w:pPr>
        <w:snapToGrid w:val="0"/>
        <w:spacing w:line="540" w:lineRule="exact"/>
        <w:ind w:firstLine="640"/>
        <w:rPr>
          <w:rFonts w:ascii="仿宋_GB2312" w:hAnsi="仿宋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充分发挥课程共享作用，推进在线开放课程学分认定和学分管理制度创新。支持各院校之间在合作、共赢、协议的基础上实现在线开放共享课程的互认。课程的初始学分由推荐该课程的院校设定，其它院校可在双方协议的基础上，根据本校专业设置和课程学分设置标准自行认定学分。</w:t>
      </w:r>
    </w:p>
    <w:p>
      <w:pPr>
        <w:snapToGrid w:val="0"/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5. </w:t>
      </w:r>
      <w:r>
        <w:rPr>
          <w:rFonts w:hint="eastAsia" w:ascii="仿宋_GB2312" w:hAnsi="仿宋" w:eastAsia="仿宋_GB2312" w:cs="Times New Roman"/>
          <w:sz w:val="30"/>
          <w:szCs w:val="30"/>
        </w:rPr>
        <w:t>团队支持与服务</w:t>
      </w:r>
    </w:p>
    <w:p>
      <w:pPr>
        <w:snapToGrid w:val="0"/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课程建设负责人应为院校正式聘用，具有丰富的教学经验和较高的学术造诣的教师，课程组成员均在教学一线长期承担本课程教学任务。支持和鼓励教学名师、知名专家主讲开放课程。通过在线开放课程建设，形成一支教学、辅导、设计和技术支持等结构合理、人员稳定、教学水平高、教学效果好、资源设计和制作能力强的优秀课程教学团队。</w:t>
      </w:r>
    </w:p>
    <w:p>
      <w:pPr>
        <w:snapToGrid w:val="0"/>
        <w:spacing w:line="540" w:lineRule="exact"/>
        <w:ind w:firstLine="450" w:firstLineChars="15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 6. </w:t>
      </w:r>
      <w:r>
        <w:rPr>
          <w:rFonts w:hint="eastAsia" w:ascii="仿宋_GB2312" w:hAnsi="仿宋" w:eastAsia="仿宋_GB2312" w:cs="Times New Roman"/>
          <w:sz w:val="30"/>
          <w:szCs w:val="30"/>
        </w:rPr>
        <w:t>信息安全及知识产权保障</w:t>
      </w:r>
    </w:p>
    <w:p>
      <w:pPr>
        <w:snapToGrid w:val="0"/>
        <w:spacing w:line="540" w:lineRule="exact"/>
        <w:ind w:firstLine="450" w:firstLineChars="15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院校、课程建设团队均须签订平等互利的知识产权保障协议，明确各方权利和义务，切实保障各方权益。</w:t>
      </w:r>
    </w:p>
    <w:p>
      <w:pPr>
        <w:snapToGrid w:val="0"/>
        <w:spacing w:line="540" w:lineRule="exact"/>
        <w:ind w:firstLine="720"/>
        <w:rPr>
          <w:rFonts w:ascii="黑体" w:hAnsi="仿宋" w:eastAsia="黑体" w:cs="Times New Roman"/>
          <w:bCs/>
          <w:sz w:val="30"/>
          <w:szCs w:val="30"/>
        </w:rPr>
      </w:pPr>
      <w:r>
        <w:rPr>
          <w:rFonts w:hint="eastAsia" w:ascii="黑体" w:hAnsi="仿宋" w:eastAsia="黑体" w:cs="Times New Roman"/>
          <w:bCs/>
          <w:sz w:val="30"/>
          <w:szCs w:val="30"/>
        </w:rPr>
        <w:t>二、课程视频制作规范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（一）视频内容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1.</w:t>
      </w:r>
      <w:r>
        <w:rPr>
          <w:rFonts w:hint="eastAsia" w:ascii="仿宋_GB2312" w:hAnsi="仿宋" w:eastAsia="仿宋_GB2312" w:cs="Times New Roman"/>
          <w:sz w:val="30"/>
          <w:szCs w:val="30"/>
        </w:rPr>
        <w:t>屏幕图像的构图合理，画面主体突出。人像及肢体动作以及配合讲授选用的板书、画板、教具实物、模型和实验设备等均不能超出镜头所及范围。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2.</w:t>
      </w:r>
      <w:r>
        <w:rPr>
          <w:rFonts w:hint="eastAsia" w:ascii="仿宋_GB2312" w:hAnsi="仿宋" w:eastAsia="仿宋_GB2312" w:cs="Times New Roman"/>
          <w:sz w:val="30"/>
          <w:szCs w:val="30"/>
        </w:rPr>
        <w:t>演播室使用的背景采用彩色喷绘或电脑虚拟、实景等背景。背景的颜色、图案不易过多，应保持静态，画面应简洁、明快，有利于营造课堂气氛。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3.</w:t>
      </w:r>
      <w:r>
        <w:rPr>
          <w:rFonts w:hint="eastAsia" w:ascii="仿宋_GB2312" w:hAnsi="仿宋" w:eastAsia="仿宋_GB2312" w:cs="Times New Roman"/>
          <w:sz w:val="30"/>
          <w:szCs w:val="30"/>
        </w:rPr>
        <w:t>摄像镜头应保持与主讲教师目光平视的角度。主讲教师不应较长时间仰视或俯视。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4.</w:t>
      </w:r>
      <w:r>
        <w:rPr>
          <w:rFonts w:hint="eastAsia" w:ascii="仿宋_GB2312" w:hAnsi="仿宋" w:eastAsia="仿宋_GB2312" w:cs="Times New Roman"/>
          <w:sz w:val="30"/>
          <w:szCs w:val="30"/>
        </w:rPr>
        <w:t>使用资料、图片、外景实拍、实验和表演等形象化教学手段，应符合教学内容要求，与讲授内容联系紧密，手段选用恰当。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5.</w:t>
      </w:r>
      <w:r>
        <w:rPr>
          <w:rFonts w:hint="eastAsia" w:ascii="仿宋_GB2312" w:hAnsi="仿宋" w:eastAsia="仿宋_GB2312" w:cs="Times New Roman"/>
          <w:sz w:val="30"/>
          <w:szCs w:val="30"/>
        </w:rPr>
        <w:t>选用影视作品或自拍素材，应注明素材来源。影视作品或自拍素材中涉及人物访谈内容时，除应加注人物介绍外，还应采用滚动式同声字幕。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6.</w:t>
      </w:r>
      <w:r>
        <w:rPr>
          <w:rFonts w:hint="eastAsia" w:ascii="仿宋_GB2312" w:hAnsi="仿宋" w:eastAsia="仿宋_GB2312" w:cs="Times New Roman"/>
          <w:sz w:val="30"/>
          <w:szCs w:val="30"/>
        </w:rPr>
        <w:t>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7.</w:t>
      </w:r>
      <w:r>
        <w:rPr>
          <w:rFonts w:hint="eastAsia" w:ascii="仿宋_GB2312" w:hAnsi="仿宋" w:eastAsia="仿宋_GB2312" w:cs="Times New Roman"/>
          <w:sz w:val="30"/>
          <w:szCs w:val="30"/>
        </w:rPr>
        <w:t>动画的设计与使用，要与课程内容相贴切，能够发挥良好的教学效果。</w:t>
      </w:r>
    </w:p>
    <w:p>
      <w:pPr>
        <w:spacing w:line="540" w:lineRule="exact"/>
        <w:ind w:firstLine="450" w:firstLineChars="15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 8.</w:t>
      </w:r>
      <w:r>
        <w:rPr>
          <w:rFonts w:hint="eastAsia" w:ascii="仿宋_GB2312" w:hAnsi="仿宋" w:eastAsia="仿宋_GB2312" w:cs="Times New Roman"/>
          <w:sz w:val="30"/>
          <w:szCs w:val="30"/>
        </w:rPr>
        <w:t>动画的实现须流畅、合理、图像清晰，具有较强的可视性。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（二）视频技术规格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1.</w:t>
      </w:r>
      <w:r>
        <w:rPr>
          <w:rFonts w:hint="eastAsia" w:ascii="仿宋_GB2312" w:hAnsi="仿宋" w:eastAsia="仿宋_GB2312" w:cs="Times New Roman"/>
          <w:sz w:val="30"/>
          <w:szCs w:val="30"/>
        </w:rPr>
        <w:t>视频信号源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）稳定性：全片图像同步性能稳定，无失步现象，</w:t>
      </w:r>
      <w:r>
        <w:rPr>
          <w:rFonts w:ascii="仿宋_GB2312" w:hAnsi="仿宋" w:eastAsia="仿宋_GB2312" w:cs="Times New Roman"/>
          <w:sz w:val="30"/>
          <w:szCs w:val="30"/>
        </w:rPr>
        <w:t>CTL</w:t>
      </w:r>
      <w:r>
        <w:rPr>
          <w:rFonts w:hint="eastAsia" w:ascii="仿宋_GB2312" w:hAnsi="仿宋" w:eastAsia="仿宋_GB2312" w:cs="Times New Roman"/>
          <w:sz w:val="30"/>
          <w:szCs w:val="30"/>
        </w:rPr>
        <w:t>同步控制信号必须连续：图像无抖动跳跃，色彩无突变，编辑点处图像稳定。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）信噪比：图像信噪比不低于</w:t>
      </w:r>
      <w:r>
        <w:rPr>
          <w:rFonts w:ascii="仿宋_GB2312" w:hAnsi="仿宋" w:eastAsia="仿宋_GB2312" w:cs="Times New Roman"/>
          <w:sz w:val="30"/>
          <w:szCs w:val="30"/>
        </w:rPr>
        <w:t>55dB</w:t>
      </w:r>
      <w:r>
        <w:rPr>
          <w:rFonts w:hint="eastAsia" w:ascii="仿宋_GB2312" w:hAnsi="仿宋" w:eastAsia="仿宋_GB2312" w:cs="Times New Roman"/>
          <w:sz w:val="30"/>
          <w:szCs w:val="30"/>
        </w:rPr>
        <w:t>，无明显杂波。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）色调：白平衡正确，无明显偏色，多机拍摄的镜头衔接处无明显色差。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）视频电平：视频全讯号幅度为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Ⅴ</w:t>
      </w:r>
      <w:r>
        <w:rPr>
          <w:rFonts w:ascii="仿宋_GB2312" w:hAnsi="仿宋" w:eastAsia="仿宋_GB2312" w:cs="Times New Roman"/>
          <w:sz w:val="30"/>
          <w:szCs w:val="30"/>
        </w:rPr>
        <w:t>p-p</w:t>
      </w:r>
      <w:r>
        <w:rPr>
          <w:rFonts w:hint="eastAsia" w:ascii="仿宋_GB2312" w:hAnsi="仿宋" w:eastAsia="仿宋_GB2312" w:cs="Times New Roman"/>
          <w:sz w:val="30"/>
          <w:szCs w:val="30"/>
        </w:rPr>
        <w:t>，最大不超过</w:t>
      </w:r>
      <w:r>
        <w:rPr>
          <w:rFonts w:ascii="仿宋_GB2312" w:hAnsi="仿宋" w:eastAsia="仿宋_GB2312" w:cs="Times New Roman"/>
          <w:sz w:val="30"/>
          <w:szCs w:val="30"/>
        </w:rPr>
        <w:t>1.1</w:t>
      </w:r>
      <w:r>
        <w:rPr>
          <w:rFonts w:hint="eastAsia" w:ascii="仿宋_GB2312" w:hAnsi="仿宋" w:eastAsia="仿宋_GB2312" w:cs="Times New Roman"/>
          <w:sz w:val="30"/>
          <w:szCs w:val="30"/>
        </w:rPr>
        <w:t>Ⅴ</w:t>
      </w:r>
      <w:r>
        <w:rPr>
          <w:rFonts w:ascii="仿宋_GB2312" w:hAnsi="仿宋" w:eastAsia="仿宋_GB2312" w:cs="Times New Roman"/>
          <w:sz w:val="30"/>
          <w:szCs w:val="30"/>
        </w:rPr>
        <w:t xml:space="preserve"> p-p</w:t>
      </w:r>
      <w:r>
        <w:rPr>
          <w:rFonts w:hint="eastAsia" w:ascii="仿宋_GB2312" w:hAnsi="仿宋" w:eastAsia="仿宋_GB2312" w:cs="Times New Roman"/>
          <w:sz w:val="30"/>
          <w:szCs w:val="30"/>
        </w:rPr>
        <w:t>。其中，消隐电平为</w:t>
      </w:r>
      <w:r>
        <w:rPr>
          <w:rFonts w:ascii="仿宋_GB2312" w:hAnsi="仿宋" w:eastAsia="仿宋_GB2312" w:cs="Times New Roman"/>
          <w:sz w:val="30"/>
          <w:szCs w:val="30"/>
        </w:rPr>
        <w:t>0V</w:t>
      </w:r>
      <w:r>
        <w:rPr>
          <w:rFonts w:hint="eastAsia" w:ascii="仿宋_GB2312" w:hAnsi="仿宋" w:eastAsia="仿宋_GB2312" w:cs="Times New Roman"/>
          <w:sz w:val="30"/>
          <w:szCs w:val="30"/>
        </w:rPr>
        <w:t>时，白电平幅度</w:t>
      </w:r>
      <w:r>
        <w:rPr>
          <w:rFonts w:ascii="仿宋_GB2312" w:hAnsi="仿宋" w:eastAsia="仿宋_GB2312" w:cs="Times New Roman"/>
          <w:sz w:val="30"/>
          <w:szCs w:val="30"/>
        </w:rPr>
        <w:t>0.7</w:t>
      </w:r>
      <w:r>
        <w:rPr>
          <w:rFonts w:hint="eastAsia" w:ascii="仿宋_GB2312" w:hAnsi="仿宋" w:eastAsia="仿宋_GB2312" w:cs="Times New Roman"/>
          <w:sz w:val="30"/>
          <w:szCs w:val="30"/>
        </w:rPr>
        <w:t>Ⅴ</w:t>
      </w:r>
      <w:r>
        <w:rPr>
          <w:rFonts w:ascii="仿宋_GB2312" w:hAnsi="仿宋" w:eastAsia="仿宋_GB2312" w:cs="Times New Roman"/>
          <w:sz w:val="30"/>
          <w:szCs w:val="30"/>
        </w:rPr>
        <w:t>p-p</w:t>
      </w:r>
      <w:r>
        <w:rPr>
          <w:rFonts w:hint="eastAsia" w:ascii="仿宋_GB2312" w:hAnsi="仿宋" w:eastAsia="仿宋_GB2312" w:cs="Times New Roman"/>
          <w:sz w:val="30"/>
          <w:szCs w:val="30"/>
        </w:rPr>
        <w:t>，同步信号</w:t>
      </w:r>
      <w:r>
        <w:rPr>
          <w:rFonts w:ascii="仿宋_GB2312" w:hAnsi="仿宋" w:eastAsia="仿宋_GB2312" w:cs="Times New Roman"/>
          <w:sz w:val="30"/>
          <w:szCs w:val="30"/>
        </w:rPr>
        <w:t>-0.3V</w:t>
      </w:r>
      <w:r>
        <w:rPr>
          <w:rFonts w:hint="eastAsia" w:ascii="仿宋_GB2312" w:hAnsi="仿宋" w:eastAsia="仿宋_GB2312" w:cs="Times New Roman"/>
          <w:sz w:val="30"/>
          <w:szCs w:val="30"/>
        </w:rPr>
        <w:t>，色同步信号幅度</w:t>
      </w:r>
      <w:r>
        <w:rPr>
          <w:rFonts w:ascii="仿宋_GB2312" w:hAnsi="仿宋" w:eastAsia="仿宋_GB2312" w:cs="Times New Roman"/>
          <w:sz w:val="30"/>
          <w:szCs w:val="30"/>
        </w:rPr>
        <w:t>0.3V p-p (</w:t>
      </w:r>
      <w:r>
        <w:rPr>
          <w:rFonts w:hint="eastAsia" w:ascii="仿宋_GB2312" w:hAnsi="仿宋" w:eastAsia="仿宋_GB2312" w:cs="Times New Roman"/>
          <w:sz w:val="30"/>
          <w:szCs w:val="30"/>
        </w:rPr>
        <w:t>以消隐线上下对称</w:t>
      </w:r>
      <w:r>
        <w:rPr>
          <w:rFonts w:ascii="仿宋_GB2312" w:hAnsi="仿宋" w:eastAsia="仿宋_GB2312" w:cs="Times New Roman"/>
          <w:sz w:val="30"/>
          <w:szCs w:val="30"/>
        </w:rPr>
        <w:t>)</w:t>
      </w:r>
      <w:r>
        <w:rPr>
          <w:rFonts w:hint="eastAsia" w:ascii="仿宋_GB2312" w:hAnsi="仿宋" w:eastAsia="仿宋_GB2312" w:cs="Times New Roman"/>
          <w:sz w:val="30"/>
          <w:szCs w:val="30"/>
        </w:rPr>
        <w:t>，全片一致。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2.</w:t>
      </w:r>
      <w:r>
        <w:rPr>
          <w:rFonts w:hint="eastAsia" w:ascii="仿宋_GB2312" w:hAnsi="仿宋" w:eastAsia="仿宋_GB2312" w:cs="Times New Roman"/>
          <w:sz w:val="30"/>
          <w:szCs w:val="30"/>
        </w:rPr>
        <w:t>音频信号源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）声道：中文内容音频信号记录于第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声道，音乐、音效、同期声记录于第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声道，若有其他文字解说记录于第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声道</w:t>
      </w:r>
      <w:r>
        <w:rPr>
          <w:rFonts w:ascii="仿宋_GB2312" w:hAnsi="仿宋" w:eastAsia="仿宋_GB2312" w:cs="Times New Roman"/>
          <w:sz w:val="30"/>
          <w:szCs w:val="30"/>
        </w:rPr>
        <w:t>(</w:t>
      </w:r>
      <w:r>
        <w:rPr>
          <w:rFonts w:hint="eastAsia" w:ascii="仿宋_GB2312" w:hAnsi="仿宋" w:eastAsia="仿宋_GB2312" w:cs="Times New Roman"/>
          <w:sz w:val="30"/>
          <w:szCs w:val="30"/>
        </w:rPr>
        <w:t>如录音设备无第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声道</w:t>
      </w:r>
      <w:r>
        <w:rPr>
          <w:rFonts w:ascii="仿宋_GB2312" w:hAnsi="仿宋" w:eastAsia="仿宋_GB2312" w:cs="Times New Roman"/>
          <w:sz w:val="30"/>
          <w:szCs w:val="30"/>
        </w:rPr>
        <w:t>,</w:t>
      </w:r>
      <w:r>
        <w:rPr>
          <w:rFonts w:hint="eastAsia" w:ascii="仿宋_GB2312" w:hAnsi="仿宋" w:eastAsia="仿宋_GB2312" w:cs="Times New Roman"/>
          <w:sz w:val="30"/>
          <w:szCs w:val="30"/>
        </w:rPr>
        <w:t>则录于第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声道</w:t>
      </w:r>
      <w:r>
        <w:rPr>
          <w:rFonts w:ascii="仿宋_GB2312" w:hAnsi="仿宋" w:eastAsia="仿宋_GB2312" w:cs="Times New Roman"/>
          <w:sz w:val="30"/>
          <w:szCs w:val="30"/>
        </w:rPr>
        <w:t>)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）电平指标：</w:t>
      </w:r>
      <w:r>
        <w:rPr>
          <w:rFonts w:ascii="仿宋_GB2312" w:hAnsi="仿宋" w:eastAsia="仿宋_GB2312" w:cs="Times New Roman"/>
          <w:sz w:val="30"/>
          <w:szCs w:val="30"/>
        </w:rPr>
        <w:t>-2db —— -8db</w:t>
      </w:r>
      <w:r>
        <w:rPr>
          <w:rFonts w:hint="eastAsia" w:ascii="仿宋_GB2312" w:hAnsi="仿宋" w:eastAsia="仿宋_GB2312" w:cs="Times New Roman"/>
          <w:sz w:val="30"/>
          <w:szCs w:val="30"/>
        </w:rPr>
        <w:t>声音应无明显失真、放音过冲、过弱。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）音频信噪比不低于</w:t>
      </w:r>
      <w:r>
        <w:rPr>
          <w:rFonts w:ascii="仿宋_GB2312" w:hAnsi="仿宋" w:eastAsia="仿宋_GB2312" w:cs="Times New Roman"/>
          <w:sz w:val="30"/>
          <w:szCs w:val="30"/>
        </w:rPr>
        <w:t>48db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）声音和画面要求同步，无交流声或其他杂音等缺陷。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5</w:t>
      </w:r>
      <w:r>
        <w:rPr>
          <w:rFonts w:hint="eastAsia" w:ascii="仿宋_GB2312" w:hAnsi="仿宋" w:eastAsia="仿宋_GB2312" w:cs="Times New Roman"/>
          <w:sz w:val="30"/>
          <w:szCs w:val="30"/>
        </w:rPr>
        <w:t>）伴音清晰、饱满、圆润，无失真、噪声杂音干扰、音量忽大忽小现象。解说声与现场声无明显比例失调，解说声与背景音乐无明显比例失调。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3.</w:t>
      </w:r>
      <w:r>
        <w:rPr>
          <w:rFonts w:hint="eastAsia" w:ascii="仿宋_GB2312" w:hAnsi="仿宋" w:eastAsia="仿宋_GB2312" w:cs="Times New Roman"/>
          <w:sz w:val="30"/>
          <w:szCs w:val="30"/>
        </w:rPr>
        <w:t>视频压缩格式及技术参数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）视频压缩采用</w:t>
      </w:r>
      <w:r>
        <w:rPr>
          <w:rFonts w:ascii="仿宋_GB2312" w:hAnsi="仿宋" w:eastAsia="仿宋_GB2312" w:cs="Times New Roman"/>
          <w:sz w:val="30"/>
          <w:szCs w:val="30"/>
        </w:rPr>
        <w:t>H.264/AVC (MPEG-4 Part10)</w:t>
      </w:r>
      <w:r>
        <w:rPr>
          <w:rFonts w:hint="eastAsia" w:ascii="仿宋_GB2312" w:hAnsi="仿宋" w:eastAsia="仿宋_GB2312" w:cs="Times New Roman"/>
          <w:sz w:val="30"/>
          <w:szCs w:val="30"/>
        </w:rPr>
        <w:t>编码、使用二次编码、不包含字幕的</w:t>
      </w:r>
      <w:r>
        <w:rPr>
          <w:rFonts w:ascii="仿宋_GB2312" w:hAnsi="仿宋" w:eastAsia="仿宋_GB2312" w:cs="Times New Roman"/>
          <w:sz w:val="30"/>
          <w:szCs w:val="30"/>
        </w:rPr>
        <w:t>MP4</w:t>
      </w:r>
      <w:r>
        <w:rPr>
          <w:rFonts w:hint="eastAsia" w:ascii="仿宋_GB2312" w:hAnsi="仿宋" w:eastAsia="仿宋_GB2312" w:cs="Times New Roman"/>
          <w:sz w:val="30"/>
          <w:szCs w:val="30"/>
        </w:rPr>
        <w:t>格式。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）视频码流率：动态码流的最低码率不得低于</w:t>
      </w:r>
      <w:r>
        <w:rPr>
          <w:rFonts w:ascii="仿宋_GB2312" w:hAnsi="仿宋" w:eastAsia="仿宋_GB2312" w:cs="Times New Roman"/>
          <w:sz w:val="30"/>
          <w:szCs w:val="30"/>
        </w:rPr>
        <w:t>1024Kb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）视频分辨率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前期采用高清</w:t>
      </w:r>
      <w:r>
        <w:rPr>
          <w:rFonts w:ascii="仿宋_GB2312" w:hAnsi="仿宋" w:eastAsia="仿宋_GB2312" w:cs="Times New Roman"/>
          <w:sz w:val="30"/>
          <w:szCs w:val="30"/>
        </w:rPr>
        <w:t>16:9</w:t>
      </w:r>
      <w:r>
        <w:rPr>
          <w:rFonts w:hint="eastAsia" w:ascii="仿宋_GB2312" w:hAnsi="仿宋" w:eastAsia="仿宋_GB2312" w:cs="Times New Roman"/>
          <w:sz w:val="30"/>
          <w:szCs w:val="30"/>
        </w:rPr>
        <w:t>拍摄，设定为</w:t>
      </w:r>
      <w:r>
        <w:rPr>
          <w:rFonts w:ascii="仿宋_GB2312" w:hAnsi="仿宋" w:eastAsia="仿宋_GB2312" w:cs="Times New Roman"/>
          <w:sz w:val="30"/>
          <w:szCs w:val="30"/>
        </w:rPr>
        <w:t xml:space="preserve"> 1280</w:t>
      </w:r>
      <w:r>
        <w:rPr>
          <w:rFonts w:hint="eastAsia" w:ascii="仿宋_GB2312" w:hAnsi="仿宋" w:eastAsia="仿宋_GB2312" w:cs="Times New Roman"/>
          <w:sz w:val="30"/>
          <w:szCs w:val="30"/>
        </w:rPr>
        <w:t>×</w:t>
      </w:r>
      <w:r>
        <w:rPr>
          <w:rFonts w:ascii="仿宋_GB2312" w:hAnsi="仿宋" w:eastAsia="仿宋_GB2312" w:cs="Times New Roman"/>
          <w:sz w:val="30"/>
          <w:szCs w:val="30"/>
        </w:rPr>
        <w:t>720</w:t>
      </w:r>
      <w:r>
        <w:rPr>
          <w:rFonts w:hint="eastAsia" w:ascii="仿宋_GB2312" w:hAnsi="仿宋" w:eastAsia="仿宋_GB2312" w:cs="Times New Roman"/>
          <w:sz w:val="30"/>
          <w:szCs w:val="30"/>
        </w:rPr>
        <w:t>或</w:t>
      </w:r>
      <w:r>
        <w:rPr>
          <w:rFonts w:ascii="仿宋_GB2312" w:hAnsi="仿宋" w:eastAsia="仿宋_GB2312" w:cs="Times New Roman"/>
          <w:sz w:val="30"/>
          <w:szCs w:val="30"/>
        </w:rPr>
        <w:t>1920</w:t>
      </w:r>
      <w:r>
        <w:rPr>
          <w:rFonts w:hint="eastAsia" w:ascii="仿宋_GB2312" w:hAnsi="仿宋" w:eastAsia="仿宋_GB2312" w:cs="Times New Roman"/>
          <w:sz w:val="30"/>
          <w:szCs w:val="30"/>
        </w:rPr>
        <w:t>×</w:t>
      </w:r>
      <w:r>
        <w:rPr>
          <w:rFonts w:ascii="仿宋_GB2312" w:hAnsi="仿宋" w:eastAsia="仿宋_GB2312" w:cs="Times New Roman"/>
          <w:sz w:val="30"/>
          <w:szCs w:val="30"/>
        </w:rPr>
        <w:t>1080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）视频画幅宽高比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分辨率设定为</w:t>
      </w:r>
      <w:r>
        <w:rPr>
          <w:rFonts w:ascii="仿宋_GB2312" w:hAnsi="仿宋" w:eastAsia="仿宋_GB2312" w:cs="Times New Roman"/>
          <w:sz w:val="30"/>
          <w:szCs w:val="30"/>
        </w:rPr>
        <w:t>1280</w:t>
      </w:r>
      <w:r>
        <w:rPr>
          <w:rFonts w:hint="eastAsia" w:ascii="仿宋_GB2312" w:hAnsi="仿宋" w:eastAsia="仿宋_GB2312" w:cs="Times New Roman"/>
          <w:sz w:val="30"/>
          <w:szCs w:val="30"/>
        </w:rPr>
        <w:t>×</w:t>
      </w:r>
      <w:r>
        <w:rPr>
          <w:rFonts w:ascii="仿宋_GB2312" w:hAnsi="仿宋" w:eastAsia="仿宋_GB2312" w:cs="Times New Roman"/>
          <w:sz w:val="30"/>
          <w:szCs w:val="30"/>
        </w:rPr>
        <w:t>720</w:t>
      </w:r>
      <w:r>
        <w:rPr>
          <w:rFonts w:hint="eastAsia" w:ascii="仿宋_GB2312" w:hAnsi="仿宋" w:eastAsia="仿宋_GB2312" w:cs="Times New Roman"/>
          <w:sz w:val="30"/>
          <w:szCs w:val="30"/>
        </w:rPr>
        <w:t>或</w:t>
      </w:r>
      <w:r>
        <w:rPr>
          <w:rFonts w:ascii="仿宋_GB2312" w:hAnsi="仿宋" w:eastAsia="仿宋_GB2312" w:cs="Times New Roman"/>
          <w:sz w:val="30"/>
          <w:szCs w:val="30"/>
        </w:rPr>
        <w:t>1920</w:t>
      </w:r>
      <w:r>
        <w:rPr>
          <w:rFonts w:hint="eastAsia" w:ascii="仿宋_GB2312" w:hAnsi="仿宋" w:eastAsia="仿宋_GB2312" w:cs="Times New Roman"/>
          <w:sz w:val="30"/>
          <w:szCs w:val="30"/>
        </w:rPr>
        <w:t>×</w:t>
      </w:r>
      <w:r>
        <w:rPr>
          <w:rFonts w:ascii="仿宋_GB2312" w:hAnsi="仿宋" w:eastAsia="仿宋_GB2312" w:cs="Times New Roman"/>
          <w:sz w:val="30"/>
          <w:szCs w:val="30"/>
        </w:rPr>
        <w:t>1080</w:t>
      </w:r>
      <w:r>
        <w:rPr>
          <w:rFonts w:hint="eastAsia" w:ascii="仿宋_GB2312" w:hAnsi="仿宋" w:eastAsia="仿宋_GB2312" w:cs="Times New Roman"/>
          <w:sz w:val="30"/>
          <w:szCs w:val="30"/>
        </w:rPr>
        <w:t>的，选定</w:t>
      </w:r>
      <w:r>
        <w:rPr>
          <w:rFonts w:ascii="仿宋_GB2312" w:hAnsi="仿宋" w:eastAsia="仿宋_GB2312" w:cs="Times New Roman"/>
          <w:sz w:val="30"/>
          <w:szCs w:val="30"/>
        </w:rPr>
        <w:t xml:space="preserve"> 16:9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5</w:t>
      </w:r>
      <w:r>
        <w:rPr>
          <w:rFonts w:hint="eastAsia" w:ascii="仿宋_GB2312" w:hAnsi="仿宋" w:eastAsia="仿宋_GB2312" w:cs="Times New Roman"/>
          <w:sz w:val="30"/>
          <w:szCs w:val="30"/>
        </w:rPr>
        <w:t>）视频帧率为</w:t>
      </w:r>
      <w:r>
        <w:rPr>
          <w:rFonts w:ascii="仿宋_GB2312" w:hAnsi="仿宋" w:eastAsia="仿宋_GB2312" w:cs="Times New Roman"/>
          <w:sz w:val="30"/>
          <w:szCs w:val="30"/>
        </w:rPr>
        <w:t>25</w:t>
      </w:r>
      <w:r>
        <w:rPr>
          <w:rFonts w:hint="eastAsia" w:ascii="仿宋_GB2312" w:hAnsi="仿宋" w:eastAsia="仿宋_GB2312" w:cs="Times New Roman"/>
          <w:sz w:val="30"/>
          <w:szCs w:val="30"/>
        </w:rPr>
        <w:t>帧</w:t>
      </w:r>
      <w:r>
        <w:rPr>
          <w:rFonts w:ascii="仿宋_GB2312" w:hAnsi="仿宋" w:eastAsia="仿宋_GB2312" w:cs="Times New Roman"/>
          <w:sz w:val="30"/>
          <w:szCs w:val="30"/>
        </w:rPr>
        <w:t>/</w:t>
      </w:r>
      <w:r>
        <w:rPr>
          <w:rFonts w:hint="eastAsia" w:ascii="仿宋_GB2312" w:hAnsi="仿宋" w:eastAsia="仿宋_GB2312" w:cs="Times New Roman"/>
          <w:sz w:val="30"/>
          <w:szCs w:val="30"/>
        </w:rPr>
        <w:t>秒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6</w:t>
      </w:r>
      <w:r>
        <w:rPr>
          <w:rFonts w:hint="eastAsia" w:ascii="仿宋_GB2312" w:hAnsi="仿宋" w:eastAsia="仿宋_GB2312" w:cs="Times New Roman"/>
          <w:sz w:val="30"/>
          <w:szCs w:val="30"/>
        </w:rPr>
        <w:t>）扫描方式采用逐行扫描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4.</w:t>
      </w:r>
      <w:r>
        <w:rPr>
          <w:rFonts w:hint="eastAsia" w:ascii="仿宋_GB2312" w:hAnsi="仿宋" w:eastAsia="仿宋_GB2312" w:cs="Times New Roman"/>
          <w:sz w:val="30"/>
          <w:szCs w:val="30"/>
        </w:rPr>
        <w:t>音频压缩格式及技术参数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）音频压缩采用</w:t>
      </w:r>
      <w:r>
        <w:rPr>
          <w:rFonts w:ascii="仿宋_GB2312" w:hAnsi="仿宋" w:eastAsia="仿宋_GB2312" w:cs="Times New Roman"/>
          <w:sz w:val="30"/>
          <w:szCs w:val="30"/>
        </w:rPr>
        <w:t>AAC(MPEG4 Part3)</w:t>
      </w:r>
      <w:r>
        <w:rPr>
          <w:rFonts w:hint="eastAsia" w:ascii="仿宋_GB2312" w:hAnsi="仿宋" w:eastAsia="仿宋_GB2312" w:cs="Times New Roman"/>
          <w:sz w:val="30"/>
          <w:szCs w:val="30"/>
        </w:rPr>
        <w:t>格式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）采样率</w:t>
      </w:r>
      <w:r>
        <w:rPr>
          <w:rFonts w:ascii="仿宋_GB2312" w:hAnsi="仿宋" w:eastAsia="仿宋_GB2312" w:cs="Times New Roman"/>
          <w:sz w:val="30"/>
          <w:szCs w:val="30"/>
        </w:rPr>
        <w:t xml:space="preserve">48KHz 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）音频码流率</w:t>
      </w:r>
      <w:r>
        <w:rPr>
          <w:rFonts w:ascii="仿宋_GB2312" w:hAnsi="仿宋" w:eastAsia="仿宋_GB2312" w:cs="Times New Roman"/>
          <w:sz w:val="30"/>
          <w:szCs w:val="30"/>
        </w:rPr>
        <w:t>128Kbps (</w:t>
      </w:r>
      <w:r>
        <w:rPr>
          <w:rFonts w:hint="eastAsia" w:ascii="仿宋_GB2312" w:hAnsi="仿宋" w:eastAsia="仿宋_GB2312" w:cs="Times New Roman"/>
          <w:sz w:val="30"/>
          <w:szCs w:val="30"/>
        </w:rPr>
        <w:t>恒定</w:t>
      </w:r>
      <w:r>
        <w:rPr>
          <w:rFonts w:ascii="仿宋_GB2312" w:hAnsi="仿宋" w:eastAsia="仿宋_GB2312" w:cs="Times New Roman"/>
          <w:sz w:val="30"/>
          <w:szCs w:val="30"/>
        </w:rPr>
        <w:t>)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）双声道，做混音处理。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5.</w:t>
      </w:r>
      <w:r>
        <w:rPr>
          <w:rFonts w:hint="eastAsia" w:ascii="仿宋_GB2312" w:hAnsi="仿宋" w:eastAsia="仿宋_GB2312" w:cs="Times New Roman"/>
          <w:sz w:val="30"/>
          <w:szCs w:val="30"/>
        </w:rPr>
        <w:t>封装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采用</w:t>
      </w:r>
      <w:r>
        <w:rPr>
          <w:rFonts w:ascii="仿宋_GB2312" w:hAnsi="仿宋" w:eastAsia="仿宋_GB2312" w:cs="Times New Roman"/>
          <w:sz w:val="30"/>
          <w:szCs w:val="30"/>
        </w:rPr>
        <w:t>MP4</w:t>
      </w:r>
      <w:r>
        <w:rPr>
          <w:rFonts w:hint="eastAsia" w:ascii="仿宋_GB2312" w:hAnsi="仿宋" w:eastAsia="仿宋_GB2312" w:cs="Times New Roman"/>
          <w:sz w:val="30"/>
          <w:szCs w:val="30"/>
        </w:rPr>
        <w:t>封装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（三）演示文稿（</w:t>
      </w:r>
      <w:r>
        <w:rPr>
          <w:rFonts w:ascii="仿宋_GB2312" w:hAnsi="仿宋" w:eastAsia="仿宋_GB2312" w:cs="Times New Roman"/>
          <w:sz w:val="30"/>
          <w:szCs w:val="30"/>
        </w:rPr>
        <w:t>PPT</w:t>
      </w:r>
      <w:r>
        <w:rPr>
          <w:rFonts w:hint="eastAsia" w:ascii="仿宋_GB2312" w:hAnsi="仿宋" w:eastAsia="仿宋_GB2312" w:cs="Times New Roman"/>
          <w:sz w:val="30"/>
          <w:szCs w:val="30"/>
        </w:rPr>
        <w:t>）制作规范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1.</w:t>
      </w:r>
      <w:r>
        <w:rPr>
          <w:rFonts w:hint="eastAsia" w:ascii="仿宋_GB2312" w:hAnsi="仿宋" w:eastAsia="仿宋_GB2312" w:cs="Times New Roman"/>
          <w:sz w:val="30"/>
          <w:szCs w:val="30"/>
        </w:rPr>
        <w:t>制作原则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）演示文稿（</w:t>
      </w:r>
      <w:r>
        <w:rPr>
          <w:rFonts w:ascii="仿宋_GB2312" w:hAnsi="仿宋" w:eastAsia="仿宋_GB2312" w:cs="Times New Roman"/>
          <w:sz w:val="30"/>
          <w:szCs w:val="30"/>
        </w:rPr>
        <w:t>PPT</w:t>
      </w:r>
      <w:r>
        <w:rPr>
          <w:rFonts w:hint="eastAsia" w:ascii="仿宋_GB2312" w:hAnsi="仿宋" w:eastAsia="仿宋_GB2312" w:cs="Times New Roman"/>
          <w:sz w:val="30"/>
          <w:szCs w:val="30"/>
        </w:rPr>
        <w:t>）要求集文字、图形、图像、声音以及视频等多种媒体元素于一体，一般不使用纯文字的演示文稿（</w:t>
      </w:r>
      <w:r>
        <w:rPr>
          <w:rFonts w:ascii="仿宋_GB2312" w:hAnsi="仿宋" w:eastAsia="仿宋_GB2312" w:cs="Times New Roman"/>
          <w:sz w:val="30"/>
          <w:szCs w:val="30"/>
        </w:rPr>
        <w:t>PPT</w:t>
      </w:r>
      <w:r>
        <w:rPr>
          <w:rFonts w:hint="eastAsia" w:ascii="仿宋_GB2312" w:hAnsi="仿宋" w:eastAsia="仿宋_GB2312" w:cs="Times New Roman"/>
          <w:sz w:val="30"/>
          <w:szCs w:val="30"/>
        </w:rPr>
        <w:t>）。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）页面设置要求符合高清格式比例，幻灯片大小为“全屏显示</w:t>
      </w:r>
      <w:r>
        <w:rPr>
          <w:rFonts w:ascii="仿宋_GB2312" w:hAnsi="仿宋" w:eastAsia="仿宋_GB2312" w:cs="Times New Roman"/>
          <w:sz w:val="30"/>
          <w:szCs w:val="30"/>
        </w:rPr>
        <w:t>16</w:t>
      </w:r>
      <w:r>
        <w:rPr>
          <w:rFonts w:hint="eastAsia" w:ascii="仿宋_GB2312" w:hAnsi="仿宋" w:eastAsia="仿宋_GB2312" w:cs="Times New Roman"/>
          <w:sz w:val="30"/>
          <w:szCs w:val="30"/>
        </w:rPr>
        <w:t>：</w:t>
      </w:r>
      <w:r>
        <w:rPr>
          <w:rFonts w:ascii="仿宋_GB2312" w:hAnsi="仿宋" w:eastAsia="仿宋_GB2312" w:cs="Times New Roman"/>
          <w:sz w:val="30"/>
          <w:szCs w:val="30"/>
        </w:rPr>
        <w:t>9</w:t>
      </w:r>
      <w:r>
        <w:rPr>
          <w:rFonts w:hint="eastAsia" w:ascii="仿宋_GB2312" w:hAnsi="仿宋" w:eastAsia="仿宋_GB2312" w:cs="Times New Roman"/>
          <w:sz w:val="30"/>
          <w:szCs w:val="30"/>
        </w:rPr>
        <w:t>”。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）整体效果应风格统一、色彩协调、美观大方。</w:t>
      </w:r>
    </w:p>
    <w:p>
      <w:pPr>
        <w:spacing w:line="540" w:lineRule="exact"/>
        <w:ind w:firstLine="64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2.</w:t>
      </w:r>
      <w:r>
        <w:rPr>
          <w:rFonts w:hint="eastAsia" w:ascii="仿宋_GB2312" w:hAnsi="仿宋" w:eastAsia="仿宋_GB2312" w:cs="Times New Roman"/>
          <w:sz w:val="30"/>
          <w:szCs w:val="30"/>
        </w:rPr>
        <w:t>字体与字号</w:t>
      </w:r>
    </w:p>
    <w:p>
      <w:pPr>
        <w:spacing w:line="540" w:lineRule="exact"/>
        <w:ind w:firstLine="64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字体与字号参照下表：</w:t>
      </w:r>
    </w:p>
    <w:tbl>
      <w:tblPr>
        <w:tblStyle w:val="2"/>
        <w:tblpPr w:leftFromText="180" w:rightFromText="180" w:vertAnchor="text" w:horzAnchor="margin" w:tblpXSpec="center" w:tblpY="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485"/>
        <w:gridCol w:w="1560"/>
        <w:gridCol w:w="155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大标题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主讲信息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一级标题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正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文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字幕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字体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大黑、时尚中黑、大隶书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黑体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黑体、魏碑、大宋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雅黑、中宋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雅黑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字号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～</w:t>
            </w: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70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36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～</w:t>
            </w: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36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～</w:t>
            </w: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磅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～</w:t>
            </w: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32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ascii="仿宋" w:hAnsi="仿宋" w:eastAsia="仿宋" w:cs="Times New Roman"/>
                <w:spacing w:val="-6"/>
                <w:sz w:val="24"/>
                <w:szCs w:val="24"/>
              </w:rPr>
              <w:t>32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应用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上下左右居中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左右居中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左右居中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左对齐或居中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左右居中</w:t>
            </w:r>
          </w:p>
        </w:tc>
      </w:tr>
    </w:tbl>
    <w:p>
      <w:pPr>
        <w:spacing w:line="560" w:lineRule="exact"/>
        <w:ind w:firstLine="641"/>
        <w:rPr>
          <w:rFonts w:ascii="仿宋_GB2312" w:hAnsi="仿宋" w:eastAsia="仿宋_GB2312" w:cs="Times New Roman"/>
          <w:color w:val="000000"/>
          <w:sz w:val="30"/>
          <w:szCs w:val="30"/>
          <w:u w:val="none" w:color="000000"/>
        </w:rPr>
      </w:pPr>
      <w:r>
        <w:rPr>
          <w:rFonts w:ascii="仿宋_GB2312" w:hAnsi="仿宋" w:eastAsia="仿宋_GB2312" w:cs="Times New Roman"/>
          <w:sz w:val="30"/>
          <w:szCs w:val="30"/>
        </w:rPr>
        <w:t>3.</w:t>
      </w:r>
      <w:r>
        <w:rPr>
          <w:rFonts w:hint="eastAsia" w:ascii="仿宋_GB2312" w:hAnsi="仿宋" w:eastAsia="仿宋_GB2312" w:cs="Times New Roman"/>
          <w:sz w:val="30"/>
          <w:szCs w:val="30"/>
        </w:rPr>
        <w:t>版心与版式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每页四周留出空白，应避免内容顶到页面边缘，边界安全区域分别为左、右</w:t>
      </w:r>
      <w:r>
        <w:rPr>
          <w:rFonts w:ascii="仿宋_GB2312" w:hAnsi="仿宋" w:eastAsia="仿宋_GB2312" w:cs="Times New Roman"/>
          <w:sz w:val="30"/>
          <w:szCs w:val="30"/>
        </w:rPr>
        <w:t>130</w:t>
      </w:r>
      <w:r>
        <w:rPr>
          <w:rFonts w:hint="eastAsia" w:ascii="仿宋_GB2312" w:hAnsi="仿宋" w:eastAsia="仿宋_GB2312" w:cs="Times New Roman"/>
          <w:sz w:val="30"/>
          <w:szCs w:val="30"/>
        </w:rPr>
        <w:t>像素内，上、下</w:t>
      </w:r>
      <w:r>
        <w:rPr>
          <w:rFonts w:ascii="仿宋_GB2312" w:hAnsi="仿宋" w:eastAsia="仿宋_GB2312" w:cs="Times New Roman"/>
          <w:sz w:val="30"/>
          <w:szCs w:val="30"/>
        </w:rPr>
        <w:t>90</w:t>
      </w:r>
      <w:r>
        <w:rPr>
          <w:rFonts w:hint="eastAsia" w:ascii="仿宋_GB2312" w:hAnsi="仿宋" w:eastAsia="仿宋_GB2312" w:cs="Times New Roman"/>
          <w:sz w:val="30"/>
          <w:szCs w:val="30"/>
        </w:rPr>
        <w:t>像素内。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4.</w:t>
      </w:r>
      <w:r>
        <w:rPr>
          <w:rFonts w:hint="eastAsia" w:ascii="仿宋_GB2312" w:hAnsi="仿宋" w:eastAsia="仿宋_GB2312" w:cs="Times New Roman"/>
          <w:sz w:val="30"/>
          <w:szCs w:val="30"/>
        </w:rPr>
        <w:t>背景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）背景色以简洁适中饱和度为主（颜色保持在一至两种色系内）；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）背景和场景不宜变化过多；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）文字、图形等内容应与背景对比醒目。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5. </w:t>
      </w:r>
      <w:r>
        <w:rPr>
          <w:rFonts w:hint="eastAsia" w:ascii="仿宋_GB2312" w:hAnsi="仿宋" w:eastAsia="仿宋_GB2312" w:cs="Times New Roman"/>
          <w:sz w:val="30"/>
          <w:szCs w:val="30"/>
        </w:rPr>
        <w:t>色调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）色彩的选配应与课程科目相吻合；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）每一短视频或一系列短视频在配色上应体现出系统性，可选一种主色调再加上一至两种辅助色进行匹配；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）同一屏里文字不宜超出三种颜色。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6.</w:t>
      </w:r>
      <w:r>
        <w:rPr>
          <w:rFonts w:hint="eastAsia" w:ascii="仿宋_GB2312" w:hAnsi="仿宋" w:eastAsia="仿宋_GB2312" w:cs="Times New Roman"/>
          <w:sz w:val="30"/>
          <w:szCs w:val="30"/>
        </w:rPr>
        <w:t>字距与行距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）标题：在文字少的情形下，字距放宽一倍体现舒展性；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）正文：行距使用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行或</w:t>
      </w:r>
      <w:r>
        <w:rPr>
          <w:rFonts w:ascii="仿宋_GB2312" w:hAnsi="仿宋" w:eastAsia="仿宋_GB2312" w:cs="Times New Roman"/>
          <w:sz w:val="30"/>
          <w:szCs w:val="30"/>
        </w:rPr>
        <w:t>1.5</w:t>
      </w:r>
      <w:r>
        <w:rPr>
          <w:rFonts w:hint="eastAsia" w:ascii="仿宋_GB2312" w:hAnsi="仿宋" w:eastAsia="仿宋_GB2312" w:cs="Times New Roman"/>
          <w:sz w:val="30"/>
          <w:szCs w:val="30"/>
        </w:rPr>
        <w:t>行，便于阅读。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7. </w:t>
      </w:r>
      <w:r>
        <w:rPr>
          <w:rFonts w:hint="eastAsia" w:ascii="仿宋_GB2312" w:hAnsi="仿宋" w:eastAsia="仿宋_GB2312" w:cs="Times New Roman"/>
          <w:sz w:val="30"/>
          <w:szCs w:val="30"/>
        </w:rPr>
        <w:t>配图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）图像应清晰并能反映出内容主题思想，分辨率应上</w:t>
      </w:r>
      <w:r>
        <w:rPr>
          <w:rFonts w:ascii="仿宋_GB2312" w:hAnsi="仿宋" w:eastAsia="仿宋_GB2312" w:cs="Times New Roman"/>
          <w:sz w:val="30"/>
          <w:szCs w:val="30"/>
        </w:rPr>
        <w:t>72dpi</w:t>
      </w:r>
      <w:r>
        <w:rPr>
          <w:rFonts w:hint="eastAsia" w:ascii="仿宋_GB2312" w:hAnsi="仿宋" w:eastAsia="仿宋_GB2312" w:cs="Times New Roman"/>
          <w:sz w:val="30"/>
          <w:szCs w:val="30"/>
        </w:rPr>
        <w:t>以上；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）保持图像宽高比例，不可变形；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）图形使用应通俗易懂，便于理解。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8. </w:t>
      </w:r>
      <w:r>
        <w:rPr>
          <w:rFonts w:hint="eastAsia" w:ascii="仿宋_GB2312" w:hAnsi="仿宋" w:eastAsia="仿宋_GB2312" w:cs="Times New Roman"/>
          <w:sz w:val="30"/>
          <w:szCs w:val="30"/>
        </w:rPr>
        <w:t>修饰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）细线条的运用比粗线条更显精致；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）扁平式的装饰更接近时代审美；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）有趣味的装饰通常更能吸引人。</w:t>
      </w:r>
    </w:p>
    <w:p>
      <w:pPr>
        <w:spacing w:line="560" w:lineRule="exact"/>
        <w:ind w:firstLine="641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 xml:space="preserve">9. </w:t>
      </w:r>
      <w:r>
        <w:rPr>
          <w:rFonts w:hint="eastAsia" w:ascii="仿宋_GB2312" w:hAnsi="仿宋" w:eastAsia="仿宋_GB2312" w:cs="Times New Roman"/>
          <w:sz w:val="30"/>
          <w:szCs w:val="30"/>
        </w:rPr>
        <w:t>版权来源</w:t>
      </w:r>
    </w:p>
    <w:p>
      <w:r>
        <w:rPr>
          <w:rFonts w:hint="eastAsia" w:ascii="仿宋_GB2312" w:hAnsi="仿宋" w:eastAsia="仿宋_GB2312" w:cs="Times New Roman"/>
          <w:sz w:val="30"/>
          <w:szCs w:val="30"/>
        </w:rPr>
        <w:t>素材选用注意版权。不得使用未经授权的素材，经授权的素材需加入“版权来源”信息。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E2365"/>
    <w:rsid w:val="029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2020-03-07T05:00:00Z</dcterms:created>
  <dc:creator>Xin</dc:creator>
  <cp:lastModifiedBy>Xin</cp:lastModifiedBy>
  <dcterms:modified xsi:type="dcterms:W3CDTF">2020-03-07T05:00:28Z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